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585"/>
        <w:gridCol w:w="4765"/>
      </w:tblGrid>
      <w:tr w:rsidR="00D26100" w14:paraId="2FA9CB00" w14:textId="77777777" w:rsidTr="00637B09">
        <w:tc>
          <w:tcPr>
            <w:tcW w:w="4585" w:type="dxa"/>
            <w:shd w:val="clear" w:color="auto" w:fill="D0CECE" w:themeFill="background2" w:themeFillShade="E6"/>
          </w:tcPr>
          <w:p w14:paraId="4840FC32" w14:textId="77777777" w:rsidR="00D26100" w:rsidRPr="00DB64A6" w:rsidRDefault="00D26100" w:rsidP="00637B09">
            <w:pPr>
              <w:pStyle w:val="NoSpacing"/>
              <w:rPr>
                <w:rFonts w:ascii="Palatino Linotype" w:hAnsi="Palatino Linotype"/>
                <w:sz w:val="24"/>
                <w:szCs w:val="24"/>
              </w:rPr>
            </w:pPr>
            <w:r>
              <w:rPr>
                <w:rFonts w:ascii="Palatino Linotype" w:hAnsi="Palatino Linotype"/>
                <w:b/>
                <w:bCs/>
                <w:sz w:val="24"/>
                <w:szCs w:val="24"/>
              </w:rPr>
              <w:t xml:space="preserve">Effective Date: </w:t>
            </w:r>
            <w:r w:rsidRPr="00D0503E">
              <w:rPr>
                <w:rFonts w:ascii="Palatino Linotype" w:hAnsi="Palatino Linotype"/>
                <w:sz w:val="24"/>
                <w:szCs w:val="24"/>
              </w:rPr>
              <w:t>January 1, 2022</w:t>
            </w:r>
          </w:p>
        </w:tc>
        <w:tc>
          <w:tcPr>
            <w:tcW w:w="4765" w:type="dxa"/>
            <w:vMerge w:val="restart"/>
            <w:shd w:val="clear" w:color="auto" w:fill="D0CECE" w:themeFill="background2" w:themeFillShade="E6"/>
          </w:tcPr>
          <w:p w14:paraId="0017E49B" w14:textId="2AC0596C" w:rsidR="00D26100" w:rsidRPr="00DB64A6" w:rsidRDefault="00D26100" w:rsidP="00637B09">
            <w:pPr>
              <w:pStyle w:val="NoSpacing"/>
              <w:tabs>
                <w:tab w:val="left" w:pos="930"/>
              </w:tabs>
              <w:rPr>
                <w:rFonts w:ascii="Palatino Linotype" w:hAnsi="Palatino Linotype"/>
                <w:sz w:val="24"/>
                <w:szCs w:val="24"/>
              </w:rPr>
            </w:pPr>
            <w:r w:rsidRPr="00FF44FC">
              <w:rPr>
                <w:rFonts w:ascii="Palatino Linotype" w:hAnsi="Palatino Linotype"/>
                <w:b/>
                <w:bCs/>
                <w:sz w:val="24"/>
                <w:szCs w:val="24"/>
              </w:rPr>
              <w:t>Policy</w:t>
            </w:r>
            <w:r>
              <w:rPr>
                <w:rFonts w:ascii="Palatino Linotype" w:hAnsi="Palatino Linotype"/>
                <w:b/>
                <w:bCs/>
                <w:sz w:val="24"/>
                <w:szCs w:val="24"/>
              </w:rPr>
              <w:t xml:space="preserve"> Title</w:t>
            </w:r>
            <w:r w:rsidRPr="00FF44FC">
              <w:rPr>
                <w:rFonts w:ascii="Palatino Linotype" w:hAnsi="Palatino Linotype"/>
                <w:b/>
                <w:bCs/>
                <w:sz w:val="24"/>
                <w:szCs w:val="24"/>
              </w:rPr>
              <w:t>:</w:t>
            </w:r>
            <w:r>
              <w:rPr>
                <w:rFonts w:ascii="Palatino Linotype" w:hAnsi="Palatino Linotype"/>
                <w:b/>
                <w:bCs/>
                <w:sz w:val="24"/>
                <w:szCs w:val="24"/>
              </w:rPr>
              <w:t xml:space="preserve"> </w:t>
            </w:r>
            <w:r w:rsidR="00D0503E" w:rsidRPr="00D0503E">
              <w:rPr>
                <w:rFonts w:ascii="Palatino Linotype" w:hAnsi="Palatino Linotype"/>
                <w:sz w:val="24"/>
                <w:szCs w:val="24"/>
              </w:rPr>
              <w:t>Criteria for Beneficiary Access to Specialty Mental Health Services (SMHS), Medical Necessity and Other Coverage Requirements</w:t>
            </w:r>
          </w:p>
        </w:tc>
      </w:tr>
      <w:tr w:rsidR="00D26100" w14:paraId="2043BDEE" w14:textId="77777777" w:rsidTr="00637B09">
        <w:tc>
          <w:tcPr>
            <w:tcW w:w="4585" w:type="dxa"/>
            <w:shd w:val="clear" w:color="auto" w:fill="D0CECE" w:themeFill="background2" w:themeFillShade="E6"/>
          </w:tcPr>
          <w:p w14:paraId="1FDD9DCA" w14:textId="77777777" w:rsidR="00D26100" w:rsidRPr="00DB64A6" w:rsidRDefault="00D26100" w:rsidP="00637B09">
            <w:pPr>
              <w:pStyle w:val="NoSpacing"/>
              <w:rPr>
                <w:rFonts w:ascii="Palatino Linotype" w:hAnsi="Palatino Linotype"/>
                <w:sz w:val="24"/>
                <w:szCs w:val="24"/>
              </w:rPr>
            </w:pPr>
            <w:r>
              <w:rPr>
                <w:rFonts w:ascii="Palatino Linotype" w:hAnsi="Palatino Linotype"/>
                <w:b/>
                <w:bCs/>
                <w:sz w:val="24"/>
                <w:szCs w:val="24"/>
              </w:rPr>
              <w:t xml:space="preserve">Original Date of Issue: </w:t>
            </w:r>
            <w:r w:rsidRPr="00D0503E">
              <w:rPr>
                <w:rFonts w:ascii="Palatino Linotype" w:hAnsi="Palatino Linotype"/>
                <w:sz w:val="24"/>
                <w:szCs w:val="24"/>
              </w:rPr>
              <w:t>April 1, 2022</w:t>
            </w:r>
          </w:p>
        </w:tc>
        <w:tc>
          <w:tcPr>
            <w:tcW w:w="4765" w:type="dxa"/>
            <w:vMerge/>
            <w:shd w:val="clear" w:color="auto" w:fill="D0CECE" w:themeFill="background2" w:themeFillShade="E6"/>
          </w:tcPr>
          <w:p w14:paraId="13FB06E2" w14:textId="77777777" w:rsidR="00D26100" w:rsidRPr="00FF44FC" w:rsidRDefault="00D26100" w:rsidP="00637B09">
            <w:pPr>
              <w:pStyle w:val="NoSpacing"/>
              <w:rPr>
                <w:rFonts w:ascii="Palatino Linotype" w:hAnsi="Palatino Linotype"/>
                <w:b/>
                <w:bCs/>
                <w:sz w:val="24"/>
                <w:szCs w:val="24"/>
              </w:rPr>
            </w:pPr>
          </w:p>
        </w:tc>
      </w:tr>
      <w:tr w:rsidR="00D26100" w14:paraId="7398B507" w14:textId="77777777" w:rsidTr="00637B09">
        <w:tc>
          <w:tcPr>
            <w:tcW w:w="4585" w:type="dxa"/>
            <w:shd w:val="clear" w:color="auto" w:fill="D0CECE" w:themeFill="background2" w:themeFillShade="E6"/>
          </w:tcPr>
          <w:p w14:paraId="61DA2548" w14:textId="77777777" w:rsidR="00D26100" w:rsidRPr="00DB64A6" w:rsidRDefault="00D26100" w:rsidP="00637B09">
            <w:pPr>
              <w:pStyle w:val="NoSpacing"/>
              <w:rPr>
                <w:rFonts w:ascii="Palatino Linotype" w:hAnsi="Palatino Linotype"/>
                <w:sz w:val="24"/>
                <w:szCs w:val="24"/>
              </w:rPr>
            </w:pPr>
            <w:r>
              <w:rPr>
                <w:rFonts w:ascii="Palatino Linotype" w:hAnsi="Palatino Linotype"/>
                <w:b/>
                <w:bCs/>
                <w:sz w:val="24"/>
                <w:szCs w:val="24"/>
              </w:rPr>
              <w:t xml:space="preserve">Last Revision Date: </w:t>
            </w:r>
            <w:r w:rsidRPr="00D0503E">
              <w:rPr>
                <w:rFonts w:ascii="Palatino Linotype" w:hAnsi="Palatino Linotype"/>
                <w:sz w:val="24"/>
                <w:szCs w:val="24"/>
              </w:rPr>
              <w:t>N/A</w:t>
            </w:r>
          </w:p>
        </w:tc>
        <w:tc>
          <w:tcPr>
            <w:tcW w:w="4765" w:type="dxa"/>
            <w:vMerge/>
            <w:shd w:val="clear" w:color="auto" w:fill="D0CECE" w:themeFill="background2" w:themeFillShade="E6"/>
          </w:tcPr>
          <w:p w14:paraId="08D5227C" w14:textId="77777777" w:rsidR="00D26100" w:rsidRDefault="00D26100" w:rsidP="00637B09">
            <w:pPr>
              <w:pStyle w:val="NoSpacing"/>
              <w:rPr>
                <w:rFonts w:ascii="Palatino Linotype" w:hAnsi="Palatino Linotype"/>
                <w:b/>
                <w:bCs/>
                <w:sz w:val="24"/>
                <w:szCs w:val="24"/>
              </w:rPr>
            </w:pPr>
          </w:p>
        </w:tc>
      </w:tr>
      <w:tr w:rsidR="00D26100" w14:paraId="42375A2C" w14:textId="77777777" w:rsidTr="00637B09">
        <w:tc>
          <w:tcPr>
            <w:tcW w:w="4585" w:type="dxa"/>
            <w:shd w:val="clear" w:color="auto" w:fill="D0CECE" w:themeFill="background2" w:themeFillShade="E6"/>
          </w:tcPr>
          <w:p w14:paraId="4465C068" w14:textId="77777777" w:rsidR="00D26100" w:rsidRPr="00DB64A6" w:rsidRDefault="00EA5D7D" w:rsidP="00637B09">
            <w:pPr>
              <w:pStyle w:val="NoSpacing"/>
              <w:rPr>
                <w:rFonts w:ascii="Palatino Linotype" w:hAnsi="Palatino Linotype"/>
                <w:sz w:val="24"/>
                <w:szCs w:val="24"/>
              </w:rPr>
            </w:pPr>
            <w:sdt>
              <w:sdtPr>
                <w:rPr>
                  <w:rFonts w:ascii="Palatino Linotype" w:hAnsi="Palatino Linotype"/>
                  <w:b/>
                  <w:bCs/>
                </w:rPr>
                <w:id w:val="-2141028632"/>
                <w14:checkbox>
                  <w14:checked w14:val="1"/>
                  <w14:checkedState w14:val="2612" w14:font="MS Gothic"/>
                  <w14:uncheckedState w14:val="2610" w14:font="MS Gothic"/>
                </w14:checkbox>
              </w:sdtPr>
              <w:sdtEndPr/>
              <w:sdtContent>
                <w:r w:rsidR="00D26100">
                  <w:rPr>
                    <w:rFonts w:ascii="MS Gothic" w:eastAsia="MS Gothic" w:hAnsi="MS Gothic" w:hint="eastAsia"/>
                    <w:b/>
                    <w:bCs/>
                  </w:rPr>
                  <w:t>☒</w:t>
                </w:r>
              </w:sdtContent>
            </w:sdt>
            <w:r w:rsidR="00D26100" w:rsidRPr="00C53E68">
              <w:rPr>
                <w:rFonts w:ascii="Palatino Linotype" w:hAnsi="Palatino Linotype"/>
                <w:b/>
                <w:bCs/>
              </w:rPr>
              <w:t xml:space="preserve"> MH </w:t>
            </w:r>
            <w:sdt>
              <w:sdtPr>
                <w:rPr>
                  <w:rFonts w:ascii="Palatino Linotype" w:hAnsi="Palatino Linotype"/>
                  <w:b/>
                  <w:bCs/>
                </w:rPr>
                <w:id w:val="1538392084"/>
                <w14:checkbox>
                  <w14:checked w14:val="0"/>
                  <w14:checkedState w14:val="2612" w14:font="MS Gothic"/>
                  <w14:uncheckedState w14:val="2610" w14:font="MS Gothic"/>
                </w14:checkbox>
              </w:sdtPr>
              <w:sdtEndPr/>
              <w:sdtContent>
                <w:r w:rsidR="00D26100">
                  <w:rPr>
                    <w:rFonts w:ascii="MS Gothic" w:eastAsia="MS Gothic" w:hAnsi="MS Gothic" w:hint="eastAsia"/>
                    <w:b/>
                    <w:bCs/>
                  </w:rPr>
                  <w:t>☐</w:t>
                </w:r>
              </w:sdtContent>
            </w:sdt>
            <w:r w:rsidR="00D26100" w:rsidRPr="00C53E68">
              <w:rPr>
                <w:rFonts w:ascii="Palatino Linotype" w:hAnsi="Palatino Linotype"/>
                <w:b/>
                <w:bCs/>
              </w:rPr>
              <w:t xml:space="preserve"> SUD </w:t>
            </w:r>
          </w:p>
        </w:tc>
        <w:tc>
          <w:tcPr>
            <w:tcW w:w="4765" w:type="dxa"/>
            <w:shd w:val="clear" w:color="auto" w:fill="D0CECE" w:themeFill="background2" w:themeFillShade="E6"/>
          </w:tcPr>
          <w:p w14:paraId="0E934128" w14:textId="604BC792" w:rsidR="00D26100" w:rsidRPr="00DB64A6" w:rsidRDefault="00D26100" w:rsidP="00637B09">
            <w:pPr>
              <w:pStyle w:val="NoSpacing"/>
              <w:rPr>
                <w:rFonts w:ascii="Palatino Linotype" w:hAnsi="Palatino Linotype"/>
                <w:sz w:val="24"/>
                <w:szCs w:val="24"/>
              </w:rPr>
            </w:pPr>
            <w:r>
              <w:rPr>
                <w:rFonts w:ascii="Palatino Linotype" w:hAnsi="Palatino Linotype"/>
                <w:b/>
                <w:bCs/>
                <w:sz w:val="24"/>
                <w:szCs w:val="24"/>
              </w:rPr>
              <w:t xml:space="preserve">Reference to BHIN </w:t>
            </w:r>
            <w:r w:rsidR="00AD225A">
              <w:rPr>
                <w:rFonts w:ascii="Palatino Linotype" w:hAnsi="Palatino Linotype"/>
                <w:b/>
                <w:bCs/>
                <w:sz w:val="24"/>
                <w:szCs w:val="24"/>
              </w:rPr>
              <w:t>No.</w:t>
            </w:r>
            <w:r>
              <w:rPr>
                <w:rFonts w:ascii="Palatino Linotype" w:hAnsi="Palatino Linotype"/>
                <w:b/>
                <w:bCs/>
                <w:sz w:val="24"/>
                <w:szCs w:val="24"/>
              </w:rPr>
              <w:t xml:space="preserve">: </w:t>
            </w:r>
            <w:r w:rsidRPr="00D0503E">
              <w:rPr>
                <w:rFonts w:ascii="Palatino Linotype" w:hAnsi="Palatino Linotype"/>
                <w:sz w:val="24"/>
                <w:szCs w:val="24"/>
              </w:rPr>
              <w:t>21-073</w:t>
            </w:r>
          </w:p>
        </w:tc>
      </w:tr>
    </w:tbl>
    <w:p w14:paraId="17CA66C6" w14:textId="507A5C39" w:rsidR="00581272" w:rsidRPr="00AF5378" w:rsidRDefault="00581272" w:rsidP="0044702D">
      <w:pPr>
        <w:pStyle w:val="NoSpacing"/>
        <w:rPr>
          <w:rFonts w:ascii="Palatino Linotype" w:hAnsi="Palatino Linotype"/>
          <w:b/>
          <w:bCs/>
          <w:sz w:val="24"/>
          <w:szCs w:val="24"/>
          <w:u w:val="single"/>
        </w:rPr>
      </w:pPr>
    </w:p>
    <w:p w14:paraId="587A1673" w14:textId="55BC67D9" w:rsidR="00405DAA" w:rsidRPr="00AF5378" w:rsidRDefault="003F56C2" w:rsidP="006E3AC7">
      <w:pPr>
        <w:pStyle w:val="NoSpacing"/>
        <w:rPr>
          <w:rFonts w:ascii="Palatino Linotype" w:hAnsi="Palatino Linotype"/>
          <w:b/>
          <w:bCs/>
          <w:sz w:val="24"/>
          <w:szCs w:val="24"/>
          <w:u w:val="single"/>
        </w:rPr>
      </w:pPr>
      <w:r w:rsidRPr="00AF5378">
        <w:rPr>
          <w:rFonts w:ascii="Palatino Linotype" w:hAnsi="Palatino Linotype"/>
          <w:b/>
          <w:bCs/>
          <w:sz w:val="24"/>
          <w:szCs w:val="24"/>
          <w:u w:val="single"/>
        </w:rPr>
        <w:t>P</w:t>
      </w:r>
      <w:r w:rsidR="00687262" w:rsidRPr="00AF5378">
        <w:rPr>
          <w:rFonts w:ascii="Palatino Linotype" w:hAnsi="Palatino Linotype"/>
          <w:b/>
          <w:bCs/>
          <w:sz w:val="24"/>
          <w:szCs w:val="24"/>
          <w:u w:val="single"/>
        </w:rPr>
        <w:t>URPOSE</w:t>
      </w:r>
    </w:p>
    <w:p w14:paraId="4131C9D9" w14:textId="77777777" w:rsidR="00D961C1" w:rsidRPr="00AF5378" w:rsidRDefault="00D961C1" w:rsidP="006E3AC7">
      <w:pPr>
        <w:pStyle w:val="NoSpacing"/>
        <w:rPr>
          <w:rFonts w:ascii="Palatino Linotype" w:hAnsi="Palatino Linotype"/>
          <w:sz w:val="24"/>
          <w:szCs w:val="24"/>
        </w:rPr>
      </w:pPr>
    </w:p>
    <w:p w14:paraId="0CDD97F6" w14:textId="5CE34377" w:rsidR="00003B11" w:rsidRPr="00AF5378" w:rsidRDefault="00B060B7" w:rsidP="006E3AC7">
      <w:pPr>
        <w:pStyle w:val="NoSpacing"/>
        <w:rPr>
          <w:rFonts w:ascii="Palatino Linotype" w:hAnsi="Palatino Linotype"/>
          <w:sz w:val="24"/>
          <w:szCs w:val="24"/>
        </w:rPr>
      </w:pPr>
      <w:r w:rsidRPr="00AF5378">
        <w:rPr>
          <w:rFonts w:ascii="Palatino Linotype" w:hAnsi="Palatino Linotype"/>
          <w:sz w:val="24"/>
          <w:szCs w:val="24"/>
        </w:rPr>
        <w:t xml:space="preserve">This policy and procedure </w:t>
      </w:r>
      <w:r w:rsidR="00E56C98" w:rsidRPr="00AF5378">
        <w:rPr>
          <w:rFonts w:ascii="Palatino Linotype" w:hAnsi="Palatino Linotype"/>
          <w:sz w:val="24"/>
          <w:szCs w:val="24"/>
        </w:rPr>
        <w:t>outline</w:t>
      </w:r>
      <w:r w:rsidR="0052222E" w:rsidRPr="00AF5378">
        <w:rPr>
          <w:rFonts w:ascii="Palatino Linotype" w:hAnsi="Palatino Linotype"/>
          <w:sz w:val="24"/>
          <w:szCs w:val="24"/>
        </w:rPr>
        <w:t>s</w:t>
      </w:r>
      <w:r w:rsidRPr="00AF5378">
        <w:rPr>
          <w:rFonts w:ascii="Palatino Linotype" w:hAnsi="Palatino Linotype"/>
          <w:sz w:val="24"/>
          <w:szCs w:val="24"/>
        </w:rPr>
        <w:t xml:space="preserve"> new </w:t>
      </w:r>
      <w:r w:rsidR="007640CE" w:rsidRPr="00AF5378">
        <w:rPr>
          <w:rFonts w:ascii="Palatino Linotype" w:hAnsi="Palatino Linotype"/>
          <w:sz w:val="24"/>
          <w:szCs w:val="24"/>
        </w:rPr>
        <w:t>guidelines</w:t>
      </w:r>
      <w:r w:rsidRPr="00AF5378">
        <w:rPr>
          <w:rFonts w:ascii="Palatino Linotype" w:hAnsi="Palatino Linotype"/>
          <w:sz w:val="24"/>
          <w:szCs w:val="24"/>
        </w:rPr>
        <w:t xml:space="preserve"> </w:t>
      </w:r>
      <w:r w:rsidR="008F38AB" w:rsidRPr="00AF5378">
        <w:rPr>
          <w:rFonts w:ascii="Palatino Linotype" w:hAnsi="Palatino Linotype"/>
          <w:sz w:val="24"/>
          <w:szCs w:val="24"/>
        </w:rPr>
        <w:t xml:space="preserve">and criteria </w:t>
      </w:r>
      <w:r w:rsidRPr="00AF5378">
        <w:rPr>
          <w:rFonts w:ascii="Palatino Linotype" w:hAnsi="Palatino Linotype"/>
          <w:sz w:val="24"/>
          <w:szCs w:val="24"/>
        </w:rPr>
        <w:t xml:space="preserve">for accessing </w:t>
      </w:r>
      <w:r w:rsidR="00D43ACC" w:rsidRPr="00AF5378">
        <w:rPr>
          <w:rFonts w:ascii="Palatino Linotype" w:hAnsi="Palatino Linotype"/>
          <w:sz w:val="24"/>
          <w:szCs w:val="24"/>
        </w:rPr>
        <w:t>S</w:t>
      </w:r>
      <w:r w:rsidRPr="00AF5378">
        <w:rPr>
          <w:rFonts w:ascii="Palatino Linotype" w:hAnsi="Palatino Linotype"/>
          <w:sz w:val="24"/>
          <w:szCs w:val="24"/>
        </w:rPr>
        <w:t xml:space="preserve">pecialty </w:t>
      </w:r>
      <w:r w:rsidR="00D43ACC" w:rsidRPr="00AF5378">
        <w:rPr>
          <w:rFonts w:ascii="Palatino Linotype" w:hAnsi="Palatino Linotype"/>
          <w:sz w:val="24"/>
          <w:szCs w:val="24"/>
        </w:rPr>
        <w:t>M</w:t>
      </w:r>
      <w:r w:rsidRPr="00AF5378">
        <w:rPr>
          <w:rFonts w:ascii="Palatino Linotype" w:hAnsi="Palatino Linotype"/>
          <w:sz w:val="24"/>
          <w:szCs w:val="24"/>
        </w:rPr>
        <w:t xml:space="preserve">ental </w:t>
      </w:r>
      <w:r w:rsidR="00D43ACC" w:rsidRPr="00AF5378">
        <w:rPr>
          <w:rFonts w:ascii="Palatino Linotype" w:hAnsi="Palatino Linotype"/>
          <w:sz w:val="24"/>
          <w:szCs w:val="24"/>
        </w:rPr>
        <w:t>H</w:t>
      </w:r>
      <w:r w:rsidRPr="00AF5378">
        <w:rPr>
          <w:rFonts w:ascii="Palatino Linotype" w:hAnsi="Palatino Linotype"/>
          <w:sz w:val="24"/>
          <w:szCs w:val="24"/>
        </w:rPr>
        <w:t xml:space="preserve">ealth </w:t>
      </w:r>
      <w:r w:rsidR="00D43ACC" w:rsidRPr="00AF5378">
        <w:rPr>
          <w:rFonts w:ascii="Palatino Linotype" w:hAnsi="Palatino Linotype"/>
          <w:sz w:val="24"/>
          <w:szCs w:val="24"/>
        </w:rPr>
        <w:t>S</w:t>
      </w:r>
      <w:r w:rsidRPr="00AF5378">
        <w:rPr>
          <w:rFonts w:ascii="Palatino Linotype" w:hAnsi="Palatino Linotype"/>
          <w:sz w:val="24"/>
          <w:szCs w:val="24"/>
        </w:rPr>
        <w:t>ervices</w:t>
      </w:r>
      <w:r w:rsidR="00D43ACC" w:rsidRPr="00AF5378">
        <w:rPr>
          <w:rFonts w:ascii="Palatino Linotype" w:hAnsi="Palatino Linotype"/>
          <w:sz w:val="24"/>
          <w:szCs w:val="24"/>
        </w:rPr>
        <w:t xml:space="preserve"> (SMHS)</w:t>
      </w:r>
      <w:r w:rsidRPr="00AF5378">
        <w:rPr>
          <w:rFonts w:ascii="Palatino Linotype" w:hAnsi="Palatino Linotype"/>
          <w:sz w:val="24"/>
          <w:szCs w:val="24"/>
        </w:rPr>
        <w:t xml:space="preserve"> as </w:t>
      </w:r>
      <w:r w:rsidR="00E67A3D" w:rsidRPr="00AF5378">
        <w:rPr>
          <w:rFonts w:ascii="Palatino Linotype" w:hAnsi="Palatino Linotype"/>
          <w:sz w:val="24"/>
          <w:szCs w:val="24"/>
        </w:rPr>
        <w:t xml:space="preserve">described </w:t>
      </w:r>
      <w:r w:rsidRPr="00AF5378">
        <w:rPr>
          <w:rFonts w:ascii="Palatino Linotype" w:hAnsi="Palatino Linotype"/>
          <w:sz w:val="24"/>
          <w:szCs w:val="24"/>
        </w:rPr>
        <w:t xml:space="preserve">in </w:t>
      </w:r>
      <w:r w:rsidR="00D43ACC" w:rsidRPr="00AF5378">
        <w:rPr>
          <w:rFonts w:ascii="Palatino Linotype" w:hAnsi="Palatino Linotype"/>
          <w:sz w:val="24"/>
          <w:szCs w:val="24"/>
        </w:rPr>
        <w:t xml:space="preserve">the </w:t>
      </w:r>
      <w:r w:rsidRPr="00AF5378">
        <w:rPr>
          <w:rFonts w:ascii="Palatino Linotype" w:hAnsi="Palatino Linotype"/>
          <w:sz w:val="24"/>
          <w:szCs w:val="24"/>
        </w:rPr>
        <w:t>Department of Health Care Services</w:t>
      </w:r>
      <w:r w:rsidR="00D43ACC" w:rsidRPr="00AF5378">
        <w:rPr>
          <w:rFonts w:ascii="Palatino Linotype" w:hAnsi="Palatino Linotype"/>
          <w:sz w:val="24"/>
          <w:szCs w:val="24"/>
        </w:rPr>
        <w:t>’</w:t>
      </w:r>
      <w:r w:rsidRPr="00AF5378">
        <w:rPr>
          <w:rFonts w:ascii="Palatino Linotype" w:hAnsi="Palatino Linotype"/>
          <w:sz w:val="24"/>
          <w:szCs w:val="24"/>
        </w:rPr>
        <w:t xml:space="preserve"> (DHCS) Behavioral Health Information Notice (BHIN) 21-073</w:t>
      </w:r>
      <w:r w:rsidR="008F38AB" w:rsidRPr="00AF5378">
        <w:rPr>
          <w:rFonts w:ascii="Palatino Linotype" w:hAnsi="Palatino Linotype"/>
          <w:sz w:val="24"/>
          <w:szCs w:val="24"/>
        </w:rPr>
        <w:t>.</w:t>
      </w:r>
      <w:r w:rsidR="00AC1B3E" w:rsidRPr="00AF5378">
        <w:rPr>
          <w:rFonts w:ascii="Palatino Linotype" w:hAnsi="Palatino Linotype"/>
          <w:sz w:val="24"/>
          <w:szCs w:val="24"/>
        </w:rPr>
        <w:t xml:space="preserve"> </w:t>
      </w:r>
      <w:r w:rsidR="00E5332A" w:rsidRPr="00AF5378">
        <w:rPr>
          <w:rFonts w:ascii="Palatino Linotype" w:hAnsi="Palatino Linotype"/>
          <w:sz w:val="24"/>
          <w:szCs w:val="24"/>
        </w:rPr>
        <w:t xml:space="preserve">Under this BHIN, access criteria and medical necessity criteria are separated and redefined. </w:t>
      </w:r>
    </w:p>
    <w:p w14:paraId="7032671A" w14:textId="77777777" w:rsidR="00405DAA" w:rsidRPr="00AF5378" w:rsidRDefault="00405DAA" w:rsidP="006E3AC7">
      <w:pPr>
        <w:pStyle w:val="NoSpacing"/>
        <w:rPr>
          <w:rFonts w:ascii="Palatino Linotype" w:hAnsi="Palatino Linotype"/>
          <w:b/>
          <w:bCs/>
          <w:sz w:val="24"/>
          <w:szCs w:val="24"/>
          <w:u w:val="single"/>
        </w:rPr>
      </w:pPr>
    </w:p>
    <w:p w14:paraId="215DA38D" w14:textId="2C4FE9A7" w:rsidR="001227A7" w:rsidRPr="00AF5378" w:rsidRDefault="00581272" w:rsidP="006E3AC7">
      <w:pPr>
        <w:pStyle w:val="NoSpacing"/>
        <w:rPr>
          <w:rFonts w:ascii="Palatino Linotype" w:hAnsi="Palatino Linotype"/>
          <w:b/>
          <w:bCs/>
          <w:sz w:val="24"/>
          <w:szCs w:val="24"/>
          <w:u w:val="single"/>
        </w:rPr>
      </w:pPr>
      <w:r w:rsidRPr="00AF5378">
        <w:rPr>
          <w:rFonts w:ascii="Palatino Linotype" w:hAnsi="Palatino Linotype"/>
          <w:b/>
          <w:bCs/>
          <w:sz w:val="24"/>
          <w:szCs w:val="24"/>
          <w:u w:val="single"/>
        </w:rPr>
        <w:t>BACKGROUND</w:t>
      </w:r>
    </w:p>
    <w:p w14:paraId="10C3782C" w14:textId="5EA6D468" w:rsidR="00E770B3" w:rsidRPr="00AF5378" w:rsidRDefault="00E770B3" w:rsidP="006E3AC7">
      <w:pPr>
        <w:pStyle w:val="NoSpacing"/>
        <w:rPr>
          <w:rFonts w:ascii="Palatino Linotype" w:hAnsi="Palatino Linotype"/>
          <w:b/>
          <w:bCs/>
          <w:sz w:val="24"/>
          <w:szCs w:val="24"/>
          <w:u w:val="single"/>
        </w:rPr>
      </w:pPr>
    </w:p>
    <w:p w14:paraId="45DFB927" w14:textId="30130E3F" w:rsidR="00003B11" w:rsidRPr="00AF5378" w:rsidRDefault="00003B11" w:rsidP="00003B11">
      <w:pPr>
        <w:pStyle w:val="Default"/>
        <w:rPr>
          <w:rFonts w:ascii="Palatino Linotype" w:hAnsi="Palatino Linotype"/>
        </w:rPr>
      </w:pPr>
      <w:r w:rsidRPr="00AF5378">
        <w:rPr>
          <w:rFonts w:ascii="Palatino Linotype" w:hAnsi="Palatino Linotype"/>
        </w:rPr>
        <w:t xml:space="preserve">With the California Advancing and Innovating Medi-Cal (CalAIM) initiative, </w:t>
      </w:r>
    </w:p>
    <w:p w14:paraId="5EB11860" w14:textId="39C74FC3" w:rsidR="00003B11" w:rsidRPr="00AF5378" w:rsidRDefault="00003B11" w:rsidP="00003B11">
      <w:pPr>
        <w:pStyle w:val="Default"/>
        <w:rPr>
          <w:rFonts w:ascii="Palatino Linotype" w:hAnsi="Palatino Linotype"/>
        </w:rPr>
      </w:pPr>
      <w:r w:rsidRPr="00AF5378">
        <w:rPr>
          <w:rFonts w:ascii="Palatino Linotype" w:hAnsi="Palatino Linotype"/>
        </w:rPr>
        <w:t>D</w:t>
      </w:r>
      <w:r w:rsidR="00D43ACC" w:rsidRPr="00AF5378">
        <w:rPr>
          <w:rFonts w:ascii="Palatino Linotype" w:hAnsi="Palatino Linotype"/>
        </w:rPr>
        <w:t>HCS a</w:t>
      </w:r>
      <w:r w:rsidRPr="00AF5378">
        <w:rPr>
          <w:rFonts w:ascii="Palatino Linotype" w:hAnsi="Palatino Linotype"/>
        </w:rPr>
        <w:t>ims to design a coherent plan to address beneficiaries’ needs across the continuum of care</w:t>
      </w:r>
      <w:r w:rsidR="00A401D5" w:rsidRPr="00AF5378">
        <w:rPr>
          <w:rFonts w:ascii="Palatino Linotype" w:hAnsi="Palatino Linotype"/>
        </w:rPr>
        <w:t xml:space="preserve"> to</w:t>
      </w:r>
      <w:r w:rsidRPr="00AF5378">
        <w:rPr>
          <w:rFonts w:ascii="Palatino Linotype" w:hAnsi="Palatino Linotype"/>
        </w:rPr>
        <w:t xml:space="preserve"> ensure that all Medi-Cal beneficiaries receive coordinated services </w:t>
      </w:r>
      <w:r w:rsidR="004402B1" w:rsidRPr="00AF5378">
        <w:rPr>
          <w:rFonts w:ascii="Palatino Linotype" w:hAnsi="Palatino Linotype"/>
        </w:rPr>
        <w:t>in support of improved</w:t>
      </w:r>
      <w:r w:rsidRPr="00AF5378">
        <w:rPr>
          <w:rFonts w:ascii="Palatino Linotype" w:hAnsi="Palatino Linotype"/>
        </w:rPr>
        <w:t xml:space="preserve"> health outcomes. The goal is to ensure</w:t>
      </w:r>
      <w:r w:rsidR="00D43ACC" w:rsidRPr="00AF5378">
        <w:rPr>
          <w:rFonts w:ascii="Palatino Linotype" w:hAnsi="Palatino Linotype"/>
        </w:rPr>
        <w:t xml:space="preserve"> </w:t>
      </w:r>
      <w:r w:rsidRPr="00AF5378">
        <w:rPr>
          <w:rFonts w:ascii="Palatino Linotype" w:hAnsi="Palatino Linotype"/>
        </w:rPr>
        <w:t>access to the right care in the right place at the right time.</w:t>
      </w:r>
    </w:p>
    <w:p w14:paraId="09C568BC" w14:textId="77777777" w:rsidR="00683CC2" w:rsidRPr="00AF5378" w:rsidRDefault="00683CC2" w:rsidP="00003B11">
      <w:pPr>
        <w:pStyle w:val="Default"/>
        <w:rPr>
          <w:rFonts w:ascii="Palatino Linotype" w:hAnsi="Palatino Linotype"/>
        </w:rPr>
      </w:pPr>
    </w:p>
    <w:p w14:paraId="5885E291" w14:textId="5583EAF1" w:rsidR="00683CC2" w:rsidRPr="00AF5378" w:rsidRDefault="00683CC2" w:rsidP="00683CC2">
      <w:pPr>
        <w:pStyle w:val="Default"/>
        <w:rPr>
          <w:rFonts w:ascii="Palatino Linotype" w:hAnsi="Palatino Linotype"/>
        </w:rPr>
      </w:pPr>
      <w:r w:rsidRPr="00AF5378">
        <w:rPr>
          <w:rFonts w:ascii="Palatino Linotype" w:hAnsi="Palatino Linotype"/>
        </w:rPr>
        <w:t xml:space="preserve">To achieve this aim, DHCS </w:t>
      </w:r>
      <w:r w:rsidR="000025B2" w:rsidRPr="00AF5378">
        <w:rPr>
          <w:rFonts w:ascii="Palatino Linotype" w:hAnsi="Palatino Linotype"/>
        </w:rPr>
        <w:t>has clarified</w:t>
      </w:r>
      <w:r w:rsidRPr="00AF5378">
        <w:rPr>
          <w:rFonts w:ascii="Palatino Linotype" w:hAnsi="Palatino Linotype"/>
        </w:rPr>
        <w:t xml:space="preserve"> the responsibilities of Mental Health Plans </w:t>
      </w:r>
    </w:p>
    <w:p w14:paraId="2351CB97" w14:textId="77777777" w:rsidR="00683CC2" w:rsidRPr="00AF5378" w:rsidRDefault="00683CC2" w:rsidP="00683CC2">
      <w:pPr>
        <w:pStyle w:val="Default"/>
        <w:rPr>
          <w:rFonts w:ascii="Palatino Linotype" w:hAnsi="Palatino Linotype"/>
        </w:rPr>
      </w:pPr>
      <w:r w:rsidRPr="00AF5378">
        <w:rPr>
          <w:rFonts w:ascii="Palatino Linotype" w:hAnsi="Palatino Linotype"/>
        </w:rPr>
        <w:t>(MHPs), including updating the criteria for access to SMHS, for both adults and</w:t>
      </w:r>
    </w:p>
    <w:p w14:paraId="13FC1D73" w14:textId="77777777" w:rsidR="00683CC2" w:rsidRPr="00AF5378" w:rsidRDefault="00683CC2" w:rsidP="00683CC2">
      <w:pPr>
        <w:pStyle w:val="Default"/>
        <w:rPr>
          <w:rFonts w:ascii="Palatino Linotype" w:hAnsi="Palatino Linotype"/>
        </w:rPr>
      </w:pPr>
      <w:r w:rsidRPr="00AF5378">
        <w:rPr>
          <w:rFonts w:ascii="Palatino Linotype" w:hAnsi="Palatino Linotype"/>
        </w:rPr>
        <w:t xml:space="preserve">beneficiaries under age 21, except for psychiatric inpatient hospital and psychiatric </w:t>
      </w:r>
    </w:p>
    <w:p w14:paraId="73D59DC5" w14:textId="062F0846" w:rsidR="00683CC2" w:rsidRPr="00AF5378" w:rsidRDefault="00683CC2" w:rsidP="00683CC2">
      <w:pPr>
        <w:pStyle w:val="Default"/>
        <w:rPr>
          <w:rFonts w:ascii="Palatino Linotype" w:hAnsi="Palatino Linotype"/>
        </w:rPr>
      </w:pPr>
      <w:r w:rsidRPr="00AF5378">
        <w:rPr>
          <w:rFonts w:ascii="Palatino Linotype" w:hAnsi="Palatino Linotype"/>
        </w:rPr>
        <w:t>health facility services</w:t>
      </w:r>
      <w:r w:rsidRPr="00AF5378" w:rsidDel="00A65B9E">
        <w:rPr>
          <w:rFonts w:ascii="Palatino Linotype" w:hAnsi="Palatino Linotype"/>
        </w:rPr>
        <w:t>.</w:t>
      </w:r>
      <w:r w:rsidRPr="00AF5378">
        <w:rPr>
          <w:rFonts w:ascii="Palatino Linotype" w:hAnsi="Palatino Linotype"/>
        </w:rPr>
        <w:t xml:space="preserve"> </w:t>
      </w:r>
      <w:r w:rsidR="00434A38" w:rsidRPr="00AF5378">
        <w:rPr>
          <w:rFonts w:ascii="Palatino Linotype" w:hAnsi="Palatino Linotype"/>
        </w:rPr>
        <w:t xml:space="preserve">BHIN 21-073 </w:t>
      </w:r>
      <w:r w:rsidRPr="00AF5378">
        <w:rPr>
          <w:rFonts w:ascii="Palatino Linotype" w:hAnsi="Palatino Linotype"/>
        </w:rPr>
        <w:t>supersedes California Code of Regulations (CCR), title 9, sections 1830.205</w:t>
      </w:r>
      <w:r w:rsidR="00240E5D" w:rsidRPr="00AF5378">
        <w:rPr>
          <w:rFonts w:ascii="Palatino Linotype" w:hAnsi="Palatino Linotype"/>
        </w:rPr>
        <w:t xml:space="preserve"> </w:t>
      </w:r>
      <w:r w:rsidRPr="00AF5378">
        <w:rPr>
          <w:rFonts w:ascii="Palatino Linotype" w:hAnsi="Palatino Linotype"/>
        </w:rPr>
        <w:t>and 1830.210</w:t>
      </w:r>
      <w:r w:rsidR="0071024A" w:rsidRPr="00AF5378">
        <w:rPr>
          <w:rStyle w:val="FootnoteReference"/>
          <w:rFonts w:ascii="Palatino Linotype" w:hAnsi="Palatino Linotype"/>
        </w:rPr>
        <w:footnoteReference w:id="2"/>
      </w:r>
      <w:r w:rsidR="001C147C" w:rsidRPr="00AF5378">
        <w:rPr>
          <w:rStyle w:val="FootnoteReference"/>
          <w:rFonts w:ascii="Palatino Linotype" w:hAnsi="Palatino Linotype"/>
        </w:rPr>
        <w:t xml:space="preserve"> </w:t>
      </w:r>
      <w:r w:rsidRPr="00AF5378">
        <w:rPr>
          <w:rFonts w:ascii="Palatino Linotype" w:hAnsi="Palatino Linotype"/>
        </w:rPr>
        <w:t>and other guidance published prior to January 1, 2022</w:t>
      </w:r>
      <w:r w:rsidR="00281519" w:rsidRPr="00AF5378">
        <w:rPr>
          <w:rFonts w:ascii="Palatino Linotype" w:hAnsi="Palatino Linotype"/>
        </w:rPr>
        <w:t>,</w:t>
      </w:r>
      <w:r w:rsidRPr="00AF5378">
        <w:rPr>
          <w:rFonts w:ascii="Palatino Linotype" w:hAnsi="Palatino Linotype"/>
        </w:rPr>
        <w:t xml:space="preserve"> regarding medical necessity criteria for MHP reimbursement of SMHS (other than psychiatric inpatient</w:t>
      </w:r>
      <w:r w:rsidR="00DD5D38" w:rsidRPr="00AF5378">
        <w:rPr>
          <w:rFonts w:ascii="Palatino Linotype" w:hAnsi="Palatino Linotype"/>
        </w:rPr>
        <w:t xml:space="preserve"> </w:t>
      </w:r>
      <w:r w:rsidRPr="00AF5378">
        <w:rPr>
          <w:rFonts w:ascii="Palatino Linotype" w:hAnsi="Palatino Linotype"/>
        </w:rPr>
        <w:t xml:space="preserve">hospital and psychiatric health facility services), including components of BHIN 20-043. </w:t>
      </w:r>
    </w:p>
    <w:p w14:paraId="16440452" w14:textId="77777777" w:rsidR="00E13547" w:rsidRPr="00AF5378" w:rsidRDefault="00E13547" w:rsidP="006E3AC7">
      <w:pPr>
        <w:pStyle w:val="NoSpacing"/>
        <w:rPr>
          <w:rFonts w:ascii="Palatino Linotype" w:hAnsi="Palatino Linotype"/>
          <w:b/>
          <w:bCs/>
          <w:sz w:val="24"/>
          <w:szCs w:val="24"/>
          <w:u w:val="single"/>
        </w:rPr>
      </w:pPr>
    </w:p>
    <w:p w14:paraId="0A3DE9BC" w14:textId="29A0BB73" w:rsidR="00407667" w:rsidRPr="00AF5378" w:rsidRDefault="00407667" w:rsidP="006E3AC7">
      <w:pPr>
        <w:pStyle w:val="NoSpacing"/>
        <w:rPr>
          <w:rFonts w:ascii="Palatino Linotype" w:hAnsi="Palatino Linotype"/>
          <w:b/>
          <w:bCs/>
          <w:sz w:val="24"/>
          <w:szCs w:val="24"/>
          <w:u w:val="single"/>
        </w:rPr>
      </w:pPr>
      <w:r w:rsidRPr="00AF5378">
        <w:rPr>
          <w:rFonts w:ascii="Palatino Linotype" w:hAnsi="Palatino Linotype"/>
          <w:b/>
          <w:bCs/>
          <w:sz w:val="24"/>
          <w:szCs w:val="24"/>
          <w:u w:val="single"/>
        </w:rPr>
        <w:t>P</w:t>
      </w:r>
      <w:r w:rsidR="00687262" w:rsidRPr="00AF5378">
        <w:rPr>
          <w:rFonts w:ascii="Palatino Linotype" w:hAnsi="Palatino Linotype"/>
          <w:b/>
          <w:bCs/>
          <w:sz w:val="24"/>
          <w:szCs w:val="24"/>
          <w:u w:val="single"/>
        </w:rPr>
        <w:t>OLICY</w:t>
      </w:r>
    </w:p>
    <w:p w14:paraId="51C1FE6D" w14:textId="77777777" w:rsidR="00B21DDA" w:rsidRPr="00AF5378" w:rsidRDefault="00B21DDA" w:rsidP="00AF5378">
      <w:pPr>
        <w:pStyle w:val="Default"/>
        <w:rPr>
          <w:rFonts w:ascii="Palatino Linotype" w:hAnsi="Palatino Linotype"/>
          <w:b/>
          <w:bCs/>
        </w:rPr>
      </w:pPr>
    </w:p>
    <w:p w14:paraId="5A5C0B5D" w14:textId="77777777" w:rsidR="008F2C3A" w:rsidRPr="00AF5378" w:rsidRDefault="008F2C3A" w:rsidP="00AF5378">
      <w:pPr>
        <w:pStyle w:val="Default"/>
        <w:rPr>
          <w:rFonts w:ascii="Palatino Linotype" w:hAnsi="Palatino Linotype"/>
        </w:rPr>
      </w:pPr>
      <w:r w:rsidRPr="00AF5378">
        <w:rPr>
          <w:rFonts w:ascii="Palatino Linotype" w:hAnsi="Palatino Linotype"/>
        </w:rPr>
        <w:t xml:space="preserve">Pursuant to Welfare and Institutions Code section 14184.402(a), for individuals 21 years </w:t>
      </w:r>
    </w:p>
    <w:p w14:paraId="182CDD3B" w14:textId="77777777" w:rsidR="008F2C3A" w:rsidRPr="00AF5378" w:rsidRDefault="008F2C3A" w:rsidP="00AF5378">
      <w:pPr>
        <w:pStyle w:val="Default"/>
        <w:rPr>
          <w:rFonts w:ascii="Palatino Linotype" w:hAnsi="Palatino Linotype"/>
        </w:rPr>
      </w:pPr>
      <w:r w:rsidRPr="00AF5378">
        <w:rPr>
          <w:rFonts w:ascii="Palatino Linotype" w:hAnsi="Palatino Linotype"/>
        </w:rPr>
        <w:t xml:space="preserve">of age or older, a service is “medically necessary” or a “medical necessity” when it is </w:t>
      </w:r>
    </w:p>
    <w:p w14:paraId="0C2FF03C" w14:textId="77777777" w:rsidR="008F2C3A" w:rsidRPr="00AF5378" w:rsidRDefault="008F2C3A" w:rsidP="00AF5378">
      <w:pPr>
        <w:pStyle w:val="Default"/>
        <w:rPr>
          <w:rFonts w:ascii="Palatino Linotype" w:hAnsi="Palatino Linotype"/>
        </w:rPr>
      </w:pPr>
      <w:r w:rsidRPr="00AF5378">
        <w:rPr>
          <w:rFonts w:ascii="Palatino Linotype" w:hAnsi="Palatino Linotype"/>
        </w:rPr>
        <w:t xml:space="preserve">reasonable and necessary to protect life, to prevent significant illness or significant </w:t>
      </w:r>
    </w:p>
    <w:p w14:paraId="32A44E7D" w14:textId="1E069CBA" w:rsidR="008F2C3A" w:rsidRPr="00AF5378" w:rsidRDefault="008F2C3A" w:rsidP="00AF5378">
      <w:pPr>
        <w:pStyle w:val="Default"/>
        <w:rPr>
          <w:rFonts w:ascii="Palatino Linotype" w:hAnsi="Palatino Linotype"/>
        </w:rPr>
      </w:pPr>
      <w:r w:rsidRPr="00AF5378">
        <w:rPr>
          <w:rFonts w:ascii="Palatino Linotype" w:hAnsi="Palatino Linotype"/>
        </w:rPr>
        <w:lastRenderedPageBreak/>
        <w:t>disability, or to alleviate severe pain as set forth in Welfare and Institutions Code section 14059.5.</w:t>
      </w:r>
    </w:p>
    <w:p w14:paraId="5BE58863" w14:textId="77777777" w:rsidR="008F2C3A" w:rsidRPr="00AF5378" w:rsidRDefault="008F2C3A" w:rsidP="008F2C3A">
      <w:pPr>
        <w:pStyle w:val="Default"/>
        <w:rPr>
          <w:rFonts w:ascii="Palatino Linotype" w:hAnsi="Palatino Linotype"/>
        </w:rPr>
      </w:pPr>
    </w:p>
    <w:p w14:paraId="6463D3CB" w14:textId="7EB75FDC" w:rsidR="008F2C3A" w:rsidRPr="00AF5378" w:rsidRDefault="008F2C3A" w:rsidP="008F2C3A">
      <w:pPr>
        <w:pStyle w:val="Default"/>
        <w:rPr>
          <w:rFonts w:ascii="Palatino Linotype" w:hAnsi="Palatino Linotype"/>
        </w:rPr>
      </w:pPr>
      <w:r w:rsidRPr="00AF5378">
        <w:rPr>
          <w:rFonts w:ascii="Palatino Linotype" w:hAnsi="Palatino Linotype"/>
        </w:rPr>
        <w:t xml:space="preserve">For individuals under 21 years of age, a service is “medically necessary” or a “medical </w:t>
      </w:r>
    </w:p>
    <w:p w14:paraId="64C11066" w14:textId="77777777" w:rsidR="008F2C3A" w:rsidRPr="00AF5378" w:rsidRDefault="008F2C3A" w:rsidP="008F2C3A">
      <w:pPr>
        <w:pStyle w:val="Default"/>
        <w:rPr>
          <w:rFonts w:ascii="Palatino Linotype" w:hAnsi="Palatino Linotype"/>
        </w:rPr>
      </w:pPr>
      <w:r w:rsidRPr="00AF5378">
        <w:rPr>
          <w:rFonts w:ascii="Palatino Linotype" w:hAnsi="Palatino Linotype"/>
        </w:rPr>
        <w:t>necessity” if the service meets the standards set forth in Section 1396d(r)(5) of Title 42</w:t>
      </w:r>
    </w:p>
    <w:p w14:paraId="5D9F0A58" w14:textId="77777777" w:rsidR="008F2C3A" w:rsidRPr="00AF5378" w:rsidRDefault="008F2C3A" w:rsidP="008F2C3A">
      <w:pPr>
        <w:pStyle w:val="Default"/>
        <w:rPr>
          <w:rFonts w:ascii="Palatino Linotype" w:hAnsi="Palatino Linotype"/>
        </w:rPr>
      </w:pPr>
      <w:r w:rsidRPr="00AF5378">
        <w:rPr>
          <w:rFonts w:ascii="Palatino Linotype" w:hAnsi="Palatino Linotype"/>
        </w:rPr>
        <w:t xml:space="preserve">of the United States Code. This section requires provision of all Medicaid-coverable </w:t>
      </w:r>
    </w:p>
    <w:p w14:paraId="057093B0" w14:textId="16619CA7" w:rsidR="002340A3" w:rsidRPr="00AF5378" w:rsidRDefault="008F2C3A" w:rsidP="002340A3">
      <w:pPr>
        <w:pStyle w:val="Default"/>
        <w:rPr>
          <w:rFonts w:ascii="Palatino Linotype" w:hAnsi="Palatino Linotype"/>
        </w:rPr>
      </w:pPr>
      <w:r w:rsidRPr="00AF5378">
        <w:rPr>
          <w:rFonts w:ascii="Palatino Linotype" w:hAnsi="Palatino Linotype"/>
        </w:rPr>
        <w:t>services necessary to correct or ameliorate a mental illness or condition discovered by a</w:t>
      </w:r>
      <w:r w:rsidR="002340A3" w:rsidRPr="00AF5378">
        <w:rPr>
          <w:rFonts w:ascii="Palatino Linotype" w:hAnsi="Palatino Linotype"/>
        </w:rPr>
        <w:t xml:space="preserve"> screening service, whether or not such services are covered under the State Plan. </w:t>
      </w:r>
    </w:p>
    <w:p w14:paraId="529836DD" w14:textId="5AED1E43" w:rsidR="002340A3" w:rsidRPr="00AF5378" w:rsidRDefault="002340A3" w:rsidP="002340A3">
      <w:pPr>
        <w:pStyle w:val="Default"/>
        <w:rPr>
          <w:rFonts w:ascii="Palatino Linotype" w:hAnsi="Palatino Linotype"/>
        </w:rPr>
      </w:pPr>
      <w:r w:rsidRPr="00AF5378">
        <w:rPr>
          <w:rFonts w:ascii="Palatino Linotype" w:hAnsi="Palatino Linotype"/>
        </w:rPr>
        <w:t xml:space="preserve">Furthermore, federal guidance from the Centers for Medicare &amp; Medicaid Services </w:t>
      </w:r>
      <w:r w:rsidR="00133BF8" w:rsidRPr="00AF5378">
        <w:rPr>
          <w:rFonts w:ascii="Palatino Linotype" w:hAnsi="Palatino Linotype"/>
        </w:rPr>
        <w:t>(CMS)</w:t>
      </w:r>
      <w:r w:rsidR="00A26F13" w:rsidRPr="00AF5378">
        <w:rPr>
          <w:rFonts w:ascii="Palatino Linotype" w:hAnsi="Palatino Linotype"/>
        </w:rPr>
        <w:t xml:space="preserve"> </w:t>
      </w:r>
      <w:r w:rsidRPr="00AF5378">
        <w:rPr>
          <w:rFonts w:ascii="Palatino Linotype" w:hAnsi="Palatino Linotype"/>
        </w:rPr>
        <w:t>makes it clear that mental health services need not be curative or restorative to</w:t>
      </w:r>
    </w:p>
    <w:p w14:paraId="347D9035" w14:textId="77777777" w:rsidR="002340A3" w:rsidRPr="00AF5378" w:rsidRDefault="002340A3" w:rsidP="002340A3">
      <w:pPr>
        <w:pStyle w:val="Default"/>
        <w:rPr>
          <w:rFonts w:ascii="Palatino Linotype" w:hAnsi="Palatino Linotype"/>
        </w:rPr>
      </w:pPr>
      <w:r w:rsidRPr="00AF5378">
        <w:rPr>
          <w:rFonts w:ascii="Palatino Linotype" w:hAnsi="Palatino Linotype"/>
        </w:rPr>
        <w:t>ameliorate a mental health condition. Services that sustain, support, improve, or make</w:t>
      </w:r>
    </w:p>
    <w:p w14:paraId="50120583" w14:textId="77777777" w:rsidR="002340A3" w:rsidRPr="00AF5378" w:rsidRDefault="002340A3" w:rsidP="002340A3">
      <w:pPr>
        <w:pStyle w:val="Default"/>
        <w:rPr>
          <w:rFonts w:ascii="Palatino Linotype" w:hAnsi="Palatino Linotype"/>
        </w:rPr>
      </w:pPr>
      <w:r w:rsidRPr="00AF5378">
        <w:rPr>
          <w:rFonts w:ascii="Palatino Linotype" w:hAnsi="Palatino Linotype"/>
        </w:rPr>
        <w:t>more tolerable a mental health condition are considered to ameliorate the mental health</w:t>
      </w:r>
    </w:p>
    <w:p w14:paraId="5E6A5EA3" w14:textId="7999CCBF" w:rsidR="002340A3" w:rsidRPr="00AF5378" w:rsidRDefault="002340A3" w:rsidP="002340A3">
      <w:pPr>
        <w:pStyle w:val="Default"/>
        <w:rPr>
          <w:rFonts w:ascii="Palatino Linotype" w:hAnsi="Palatino Linotype"/>
        </w:rPr>
      </w:pPr>
      <w:r w:rsidRPr="00AF5378">
        <w:rPr>
          <w:rFonts w:ascii="Palatino Linotype" w:hAnsi="Palatino Linotype"/>
        </w:rPr>
        <w:t>condition</w:t>
      </w:r>
      <w:r w:rsidR="005A5E49" w:rsidRPr="00AF5378">
        <w:rPr>
          <w:rFonts w:ascii="Palatino Linotype" w:hAnsi="Palatino Linotype"/>
        </w:rPr>
        <w:t>, and</w:t>
      </w:r>
      <w:r w:rsidRPr="00AF5378">
        <w:rPr>
          <w:rFonts w:ascii="Palatino Linotype" w:hAnsi="Palatino Linotype"/>
        </w:rPr>
        <w:t xml:space="preserve"> are thus medically necessary and covered as EPSDT services.</w:t>
      </w:r>
    </w:p>
    <w:p w14:paraId="18C50485" w14:textId="77777777" w:rsidR="002340A3" w:rsidRPr="00AF5378" w:rsidRDefault="002340A3" w:rsidP="002340A3">
      <w:pPr>
        <w:pStyle w:val="Default"/>
        <w:rPr>
          <w:rFonts w:ascii="Palatino Linotype" w:hAnsi="Palatino Linotype"/>
        </w:rPr>
      </w:pPr>
    </w:p>
    <w:p w14:paraId="31BD6A35" w14:textId="39C369F7" w:rsidR="002340A3" w:rsidRPr="00AF5378" w:rsidRDefault="002340A3" w:rsidP="002340A3">
      <w:pPr>
        <w:pStyle w:val="Default"/>
        <w:rPr>
          <w:rFonts w:ascii="Palatino Linotype" w:hAnsi="Palatino Linotype"/>
        </w:rPr>
      </w:pPr>
      <w:r w:rsidRPr="00AF5378">
        <w:rPr>
          <w:rFonts w:ascii="Palatino Linotype" w:hAnsi="Palatino Linotype"/>
        </w:rPr>
        <w:t>Services provided to a beneficiary must be medically necessary and clinically</w:t>
      </w:r>
    </w:p>
    <w:p w14:paraId="7032D327" w14:textId="4853C756" w:rsidR="00E13C1B" w:rsidRPr="00AF5378" w:rsidRDefault="002340A3" w:rsidP="002E10F7">
      <w:pPr>
        <w:pStyle w:val="Default"/>
        <w:rPr>
          <w:rFonts w:ascii="Palatino Linotype" w:hAnsi="Palatino Linotype"/>
        </w:rPr>
      </w:pPr>
      <w:r w:rsidRPr="00AF5378">
        <w:rPr>
          <w:rFonts w:ascii="Palatino Linotype" w:hAnsi="Palatino Linotype"/>
        </w:rPr>
        <w:t>appropriate to address the beneficiary’s presenting condition.</w:t>
      </w:r>
      <w:r w:rsidR="002D0A28" w:rsidRPr="00AF5378">
        <w:rPr>
          <w:rStyle w:val="FootnoteReference"/>
          <w:rFonts w:ascii="Palatino Linotype" w:hAnsi="Palatino Linotype"/>
        </w:rPr>
        <w:footnoteReference w:id="3"/>
      </w:r>
    </w:p>
    <w:p w14:paraId="44BB5367" w14:textId="77777777" w:rsidR="00E13C1B" w:rsidRPr="00AF5378" w:rsidRDefault="00E13C1B" w:rsidP="006E3AC7">
      <w:pPr>
        <w:pStyle w:val="NoSpacing"/>
        <w:rPr>
          <w:rFonts w:ascii="Palatino Linotype" w:hAnsi="Palatino Linotype"/>
          <w:b/>
          <w:bCs/>
          <w:sz w:val="24"/>
          <w:szCs w:val="24"/>
          <w:u w:val="single"/>
        </w:rPr>
      </w:pPr>
    </w:p>
    <w:p w14:paraId="13D5A800" w14:textId="68DB6B96" w:rsidR="00DD7910" w:rsidRPr="00AF5378" w:rsidRDefault="00E901DE" w:rsidP="006E3AC7">
      <w:pPr>
        <w:pStyle w:val="NoSpacing"/>
        <w:rPr>
          <w:rFonts w:ascii="Palatino Linotype" w:hAnsi="Palatino Linotype"/>
          <w:b/>
          <w:bCs/>
          <w:sz w:val="24"/>
          <w:szCs w:val="24"/>
          <w:u w:val="single"/>
        </w:rPr>
      </w:pPr>
      <w:r w:rsidRPr="00AF5378">
        <w:rPr>
          <w:rFonts w:ascii="Palatino Linotype" w:hAnsi="Palatino Linotype"/>
          <w:b/>
          <w:bCs/>
          <w:sz w:val="24"/>
          <w:szCs w:val="24"/>
          <w:u w:val="single"/>
        </w:rPr>
        <w:t>PROCEDURE</w:t>
      </w:r>
    </w:p>
    <w:p w14:paraId="55B7E2D1" w14:textId="77777777" w:rsidR="00E901DE" w:rsidRPr="00AF5378" w:rsidRDefault="00E901DE" w:rsidP="006E3AC7">
      <w:pPr>
        <w:pStyle w:val="NoSpacing"/>
        <w:rPr>
          <w:rFonts w:ascii="Palatino Linotype" w:hAnsi="Palatino Linotype"/>
          <w:b/>
          <w:bCs/>
          <w:sz w:val="24"/>
          <w:szCs w:val="24"/>
          <w:u w:val="single"/>
        </w:rPr>
      </w:pPr>
    </w:p>
    <w:p w14:paraId="4E7CA207" w14:textId="1DEB9E5A" w:rsidR="007168C7" w:rsidRPr="00AF5378" w:rsidRDefault="007168C7" w:rsidP="007168C7">
      <w:pPr>
        <w:pStyle w:val="NoSpacing"/>
        <w:rPr>
          <w:rFonts w:ascii="Palatino Linotype" w:hAnsi="Palatino Linotype"/>
          <w:b/>
          <w:bCs/>
          <w:sz w:val="24"/>
          <w:szCs w:val="24"/>
          <w:u w:val="single"/>
        </w:rPr>
      </w:pPr>
      <w:r w:rsidRPr="00AF5378">
        <w:rPr>
          <w:rFonts w:ascii="Palatino Linotype" w:hAnsi="Palatino Linotype"/>
          <w:b/>
          <w:bCs/>
          <w:sz w:val="24"/>
          <w:szCs w:val="24"/>
          <w:u w:val="single"/>
        </w:rPr>
        <w:t>Criteria for Adult Beneficiaries to Access the Specialty Mental Health Services Delivery System</w:t>
      </w:r>
    </w:p>
    <w:p w14:paraId="2D474608" w14:textId="77777777" w:rsidR="007168C7" w:rsidRPr="00AF5378" w:rsidRDefault="007168C7" w:rsidP="007168C7">
      <w:pPr>
        <w:pStyle w:val="NoSpacing"/>
        <w:rPr>
          <w:rFonts w:ascii="Palatino Linotype" w:hAnsi="Palatino Linotype"/>
          <w:sz w:val="24"/>
          <w:szCs w:val="24"/>
        </w:rPr>
      </w:pPr>
    </w:p>
    <w:p w14:paraId="1E60C122" w14:textId="26DF9E4B" w:rsidR="007168C7" w:rsidRPr="00AF5378" w:rsidRDefault="007168C7" w:rsidP="007168C7">
      <w:pPr>
        <w:pStyle w:val="NoSpacing"/>
        <w:rPr>
          <w:rFonts w:ascii="Palatino Linotype" w:hAnsi="Palatino Linotype"/>
          <w:sz w:val="24"/>
          <w:szCs w:val="24"/>
        </w:rPr>
      </w:pPr>
      <w:r w:rsidRPr="00AF5378">
        <w:rPr>
          <w:rFonts w:ascii="Palatino Linotype" w:hAnsi="Palatino Linotype"/>
          <w:sz w:val="24"/>
          <w:szCs w:val="24"/>
        </w:rPr>
        <w:t xml:space="preserve">For beneficiaries 21 years of age or older, a county </w:t>
      </w:r>
      <w:r w:rsidR="00ED4923" w:rsidRPr="00AF5378">
        <w:rPr>
          <w:rFonts w:ascii="Palatino Linotype" w:hAnsi="Palatino Linotype"/>
          <w:sz w:val="24"/>
          <w:szCs w:val="24"/>
        </w:rPr>
        <w:t>MHP</w:t>
      </w:r>
      <w:r w:rsidRPr="00AF5378">
        <w:rPr>
          <w:rFonts w:ascii="Palatino Linotype" w:hAnsi="Palatino Linotype"/>
          <w:sz w:val="24"/>
          <w:szCs w:val="24"/>
        </w:rPr>
        <w:t xml:space="preserve"> shall provide</w:t>
      </w:r>
    </w:p>
    <w:p w14:paraId="5FB216B9" w14:textId="0A15C574" w:rsidR="007168C7" w:rsidRPr="00AF5378" w:rsidRDefault="007168C7" w:rsidP="007168C7">
      <w:pPr>
        <w:pStyle w:val="NoSpacing"/>
        <w:rPr>
          <w:rFonts w:ascii="Palatino Linotype" w:hAnsi="Palatino Linotype"/>
          <w:sz w:val="24"/>
          <w:szCs w:val="24"/>
        </w:rPr>
      </w:pPr>
      <w:r w:rsidRPr="00AF5378">
        <w:rPr>
          <w:rFonts w:ascii="Palatino Linotype" w:hAnsi="Palatino Linotype"/>
          <w:sz w:val="24"/>
          <w:szCs w:val="24"/>
        </w:rPr>
        <w:t xml:space="preserve">covered </w:t>
      </w:r>
      <w:r w:rsidR="00763C8D" w:rsidRPr="00AF5378">
        <w:rPr>
          <w:rFonts w:ascii="Palatino Linotype" w:hAnsi="Palatino Linotype"/>
          <w:sz w:val="24"/>
          <w:szCs w:val="24"/>
        </w:rPr>
        <w:t>SMHS</w:t>
      </w:r>
      <w:r w:rsidRPr="00AF5378">
        <w:rPr>
          <w:rFonts w:ascii="Palatino Linotype" w:hAnsi="Palatino Linotype"/>
          <w:sz w:val="24"/>
          <w:szCs w:val="24"/>
        </w:rPr>
        <w:t xml:space="preserve"> for beneficiaries who meet both of the</w:t>
      </w:r>
      <w:r w:rsidR="00196F96" w:rsidRPr="00AF5378">
        <w:rPr>
          <w:rFonts w:ascii="Palatino Linotype" w:hAnsi="Palatino Linotype"/>
          <w:sz w:val="24"/>
          <w:szCs w:val="24"/>
        </w:rPr>
        <w:t xml:space="preserve"> </w:t>
      </w:r>
      <w:r w:rsidRPr="00AF5378">
        <w:rPr>
          <w:rFonts w:ascii="Palatino Linotype" w:hAnsi="Palatino Linotype"/>
          <w:sz w:val="24"/>
          <w:szCs w:val="24"/>
        </w:rPr>
        <w:t>following criteria, (1) and (2) below:</w:t>
      </w:r>
    </w:p>
    <w:p w14:paraId="6B0BBEEB" w14:textId="77777777" w:rsidR="007168C7" w:rsidRPr="00AF5378" w:rsidRDefault="007168C7" w:rsidP="007168C7">
      <w:pPr>
        <w:pStyle w:val="NoSpacing"/>
        <w:rPr>
          <w:rFonts w:ascii="Palatino Linotype" w:hAnsi="Palatino Linotype"/>
          <w:sz w:val="24"/>
          <w:szCs w:val="24"/>
        </w:rPr>
      </w:pPr>
    </w:p>
    <w:p w14:paraId="4E1EAF8B" w14:textId="4C81F94B" w:rsidR="007168C7" w:rsidRPr="00AF5378" w:rsidRDefault="007168C7" w:rsidP="0002137A">
      <w:pPr>
        <w:pStyle w:val="NoSpacing"/>
        <w:numPr>
          <w:ilvl w:val="0"/>
          <w:numId w:val="13"/>
        </w:numPr>
        <w:rPr>
          <w:rFonts w:ascii="Palatino Linotype" w:hAnsi="Palatino Linotype"/>
          <w:sz w:val="24"/>
          <w:szCs w:val="24"/>
        </w:rPr>
      </w:pPr>
      <w:r w:rsidRPr="00AF5378">
        <w:rPr>
          <w:rFonts w:ascii="Palatino Linotype" w:hAnsi="Palatino Linotype"/>
          <w:sz w:val="24"/>
          <w:szCs w:val="24"/>
        </w:rPr>
        <w:t>The beneficiary has one or both of the following:</w:t>
      </w:r>
    </w:p>
    <w:p w14:paraId="28491CBE" w14:textId="77777777" w:rsidR="00764D60" w:rsidRPr="00AF5378" w:rsidRDefault="00764D60" w:rsidP="00764D60">
      <w:pPr>
        <w:pStyle w:val="NoSpacing"/>
        <w:ind w:left="720"/>
        <w:rPr>
          <w:rFonts w:ascii="Palatino Linotype" w:hAnsi="Palatino Linotype"/>
          <w:sz w:val="24"/>
          <w:szCs w:val="24"/>
        </w:rPr>
      </w:pPr>
    </w:p>
    <w:p w14:paraId="0A4141DD" w14:textId="77777777" w:rsidR="007168C7" w:rsidRPr="00AF5378" w:rsidRDefault="007168C7" w:rsidP="007168C7">
      <w:pPr>
        <w:pStyle w:val="NoSpacing"/>
        <w:ind w:left="720"/>
        <w:rPr>
          <w:rFonts w:ascii="Palatino Linotype" w:hAnsi="Palatino Linotype"/>
          <w:sz w:val="24"/>
          <w:szCs w:val="24"/>
        </w:rPr>
      </w:pPr>
      <w:r w:rsidRPr="00AF5378">
        <w:rPr>
          <w:rFonts w:ascii="Palatino Linotype" w:hAnsi="Palatino Linotype"/>
          <w:sz w:val="24"/>
          <w:szCs w:val="24"/>
        </w:rPr>
        <w:t xml:space="preserve">a. Significant impairment, where impairment is defined as distress, disability, </w:t>
      </w:r>
    </w:p>
    <w:p w14:paraId="04887103" w14:textId="77777777" w:rsidR="007168C7" w:rsidRPr="00AF5378" w:rsidRDefault="007168C7" w:rsidP="007168C7">
      <w:pPr>
        <w:pStyle w:val="NoSpacing"/>
        <w:ind w:left="720"/>
        <w:rPr>
          <w:rFonts w:ascii="Palatino Linotype" w:hAnsi="Palatino Linotype"/>
          <w:sz w:val="24"/>
          <w:szCs w:val="24"/>
        </w:rPr>
      </w:pPr>
      <w:r w:rsidRPr="00AF5378">
        <w:rPr>
          <w:rFonts w:ascii="Palatino Linotype" w:hAnsi="Palatino Linotype"/>
          <w:sz w:val="24"/>
          <w:szCs w:val="24"/>
        </w:rPr>
        <w:t>or dysfunction in social, occupational, or other important activities.</w:t>
      </w:r>
    </w:p>
    <w:p w14:paraId="66B916BC" w14:textId="77777777" w:rsidR="00764D60" w:rsidRPr="00AF5378" w:rsidRDefault="00764D60" w:rsidP="007168C7">
      <w:pPr>
        <w:pStyle w:val="NoSpacing"/>
        <w:ind w:left="720"/>
        <w:rPr>
          <w:rFonts w:ascii="Palatino Linotype" w:hAnsi="Palatino Linotype"/>
          <w:sz w:val="24"/>
          <w:szCs w:val="24"/>
        </w:rPr>
      </w:pPr>
    </w:p>
    <w:p w14:paraId="01643CA3" w14:textId="77777777" w:rsidR="007168C7" w:rsidRPr="00AF5378" w:rsidRDefault="007168C7" w:rsidP="007168C7">
      <w:pPr>
        <w:pStyle w:val="NoSpacing"/>
        <w:ind w:left="720"/>
        <w:rPr>
          <w:rFonts w:ascii="Palatino Linotype" w:hAnsi="Palatino Linotype"/>
          <w:sz w:val="24"/>
          <w:szCs w:val="24"/>
        </w:rPr>
      </w:pPr>
      <w:r w:rsidRPr="00AF5378">
        <w:rPr>
          <w:rFonts w:ascii="Palatino Linotype" w:hAnsi="Palatino Linotype"/>
          <w:sz w:val="24"/>
          <w:szCs w:val="24"/>
        </w:rPr>
        <w:t xml:space="preserve">b. A reasonable probability of significant deterioration in an important area of </w:t>
      </w:r>
    </w:p>
    <w:p w14:paraId="7D76E3B2" w14:textId="77777777" w:rsidR="007168C7" w:rsidRPr="00AF5378" w:rsidRDefault="007168C7" w:rsidP="007168C7">
      <w:pPr>
        <w:pStyle w:val="NoSpacing"/>
        <w:ind w:left="720"/>
        <w:rPr>
          <w:rFonts w:ascii="Palatino Linotype" w:hAnsi="Palatino Linotype"/>
          <w:sz w:val="24"/>
          <w:szCs w:val="24"/>
        </w:rPr>
      </w:pPr>
      <w:r w:rsidRPr="00AF5378">
        <w:rPr>
          <w:rFonts w:ascii="Palatino Linotype" w:hAnsi="Palatino Linotype"/>
          <w:sz w:val="24"/>
          <w:szCs w:val="24"/>
        </w:rPr>
        <w:t>life functioning.</w:t>
      </w:r>
    </w:p>
    <w:p w14:paraId="550A237E" w14:textId="77777777" w:rsidR="007168C7" w:rsidRPr="00AF5378" w:rsidRDefault="007168C7" w:rsidP="007168C7">
      <w:pPr>
        <w:pStyle w:val="NoSpacing"/>
        <w:rPr>
          <w:rFonts w:ascii="Palatino Linotype" w:hAnsi="Palatino Linotype"/>
          <w:b/>
          <w:bCs/>
          <w:sz w:val="24"/>
          <w:szCs w:val="24"/>
        </w:rPr>
      </w:pPr>
      <w:r w:rsidRPr="00AF5378">
        <w:rPr>
          <w:rFonts w:ascii="Palatino Linotype" w:hAnsi="Palatino Linotype"/>
          <w:b/>
          <w:bCs/>
          <w:sz w:val="24"/>
          <w:szCs w:val="24"/>
        </w:rPr>
        <w:t>AND</w:t>
      </w:r>
    </w:p>
    <w:p w14:paraId="1AB9DFE6" w14:textId="77777777" w:rsidR="007168C7" w:rsidRPr="00AF5378" w:rsidRDefault="007168C7" w:rsidP="007168C7">
      <w:pPr>
        <w:pStyle w:val="NoSpacing"/>
        <w:rPr>
          <w:rFonts w:ascii="Palatino Linotype" w:hAnsi="Palatino Linotype"/>
          <w:sz w:val="24"/>
          <w:szCs w:val="24"/>
        </w:rPr>
      </w:pPr>
    </w:p>
    <w:p w14:paraId="01007983" w14:textId="4C4A862F" w:rsidR="007168C7" w:rsidRPr="00AF5378" w:rsidRDefault="007168C7" w:rsidP="0002137A">
      <w:pPr>
        <w:pStyle w:val="NoSpacing"/>
        <w:numPr>
          <w:ilvl w:val="0"/>
          <w:numId w:val="13"/>
        </w:numPr>
        <w:rPr>
          <w:rFonts w:ascii="Palatino Linotype" w:hAnsi="Palatino Linotype"/>
          <w:sz w:val="24"/>
          <w:szCs w:val="24"/>
        </w:rPr>
      </w:pPr>
      <w:r w:rsidRPr="00AF5378">
        <w:rPr>
          <w:rFonts w:ascii="Palatino Linotype" w:hAnsi="Palatino Linotype"/>
          <w:sz w:val="24"/>
          <w:szCs w:val="24"/>
        </w:rPr>
        <w:t>The beneficiary’s condition as described in paragraph (1) is due to either of the</w:t>
      </w:r>
    </w:p>
    <w:p w14:paraId="0A4236D0" w14:textId="77777777" w:rsidR="007168C7" w:rsidRPr="00AF5378" w:rsidRDefault="007168C7" w:rsidP="0002137A">
      <w:pPr>
        <w:pStyle w:val="NoSpacing"/>
        <w:ind w:firstLine="720"/>
        <w:rPr>
          <w:rFonts w:ascii="Palatino Linotype" w:hAnsi="Palatino Linotype"/>
          <w:sz w:val="24"/>
          <w:szCs w:val="24"/>
        </w:rPr>
      </w:pPr>
      <w:r w:rsidRPr="00AF5378">
        <w:rPr>
          <w:rFonts w:ascii="Palatino Linotype" w:hAnsi="Palatino Linotype"/>
          <w:sz w:val="24"/>
          <w:szCs w:val="24"/>
        </w:rPr>
        <w:t>following:</w:t>
      </w:r>
    </w:p>
    <w:p w14:paraId="146C477F" w14:textId="77777777" w:rsidR="00764D60" w:rsidRPr="00AF5378" w:rsidRDefault="00764D60" w:rsidP="007168C7">
      <w:pPr>
        <w:pStyle w:val="NoSpacing"/>
        <w:rPr>
          <w:rFonts w:ascii="Palatino Linotype" w:hAnsi="Palatino Linotype"/>
          <w:sz w:val="24"/>
          <w:szCs w:val="24"/>
        </w:rPr>
      </w:pPr>
    </w:p>
    <w:p w14:paraId="293D8116" w14:textId="77777777" w:rsidR="007168C7" w:rsidRPr="00AF5378" w:rsidRDefault="007168C7" w:rsidP="004B2420">
      <w:pPr>
        <w:pStyle w:val="NoSpacing"/>
        <w:ind w:left="720"/>
        <w:rPr>
          <w:rFonts w:ascii="Palatino Linotype" w:hAnsi="Palatino Linotype"/>
          <w:sz w:val="24"/>
          <w:szCs w:val="24"/>
        </w:rPr>
      </w:pPr>
      <w:r w:rsidRPr="00AF5378">
        <w:rPr>
          <w:rFonts w:ascii="Palatino Linotype" w:hAnsi="Palatino Linotype"/>
          <w:sz w:val="24"/>
          <w:szCs w:val="24"/>
        </w:rPr>
        <w:t xml:space="preserve">a. A diagnosed mental health disorder, according to the criteria of the current </w:t>
      </w:r>
    </w:p>
    <w:p w14:paraId="5D75ADF8" w14:textId="1C9A9D32" w:rsidR="007168C7" w:rsidRPr="00AF5378" w:rsidRDefault="007168C7" w:rsidP="004B2420">
      <w:pPr>
        <w:pStyle w:val="NoSpacing"/>
        <w:ind w:left="720"/>
        <w:rPr>
          <w:rFonts w:ascii="Palatino Linotype" w:hAnsi="Palatino Linotype"/>
          <w:sz w:val="24"/>
          <w:szCs w:val="24"/>
        </w:rPr>
      </w:pPr>
      <w:r w:rsidRPr="00AF5378">
        <w:rPr>
          <w:rFonts w:ascii="Palatino Linotype" w:hAnsi="Palatino Linotype"/>
          <w:sz w:val="24"/>
          <w:szCs w:val="24"/>
        </w:rPr>
        <w:t>editions of the Diagnostic and Statistical Manual of Mental Disorders</w:t>
      </w:r>
      <w:r w:rsidR="0055257D" w:rsidRPr="00AF5378">
        <w:rPr>
          <w:rStyle w:val="FootnoteReference"/>
          <w:rFonts w:ascii="Palatino Linotype" w:hAnsi="Palatino Linotype"/>
          <w:sz w:val="24"/>
          <w:szCs w:val="24"/>
        </w:rPr>
        <w:footnoteReference w:id="4"/>
      </w:r>
      <w:r w:rsidR="0055257D" w:rsidRPr="00AF5378">
        <w:rPr>
          <w:rFonts w:ascii="Palatino Linotype" w:hAnsi="Palatino Linotype"/>
          <w:sz w:val="24"/>
          <w:szCs w:val="24"/>
        </w:rPr>
        <w:t xml:space="preserve"> </w:t>
      </w:r>
      <w:r w:rsidRPr="00AF5378">
        <w:rPr>
          <w:rFonts w:ascii="Palatino Linotype" w:hAnsi="Palatino Linotype"/>
          <w:sz w:val="24"/>
          <w:szCs w:val="24"/>
        </w:rPr>
        <w:t>and</w:t>
      </w:r>
    </w:p>
    <w:p w14:paraId="069FE601" w14:textId="77777777" w:rsidR="007168C7" w:rsidRPr="00AF5378" w:rsidRDefault="007168C7" w:rsidP="004B2420">
      <w:pPr>
        <w:pStyle w:val="NoSpacing"/>
        <w:ind w:left="720"/>
        <w:rPr>
          <w:rFonts w:ascii="Palatino Linotype" w:hAnsi="Palatino Linotype"/>
          <w:sz w:val="24"/>
          <w:szCs w:val="24"/>
        </w:rPr>
      </w:pPr>
      <w:r w:rsidRPr="00AF5378">
        <w:rPr>
          <w:rFonts w:ascii="Palatino Linotype" w:hAnsi="Palatino Linotype"/>
          <w:sz w:val="24"/>
          <w:szCs w:val="24"/>
        </w:rPr>
        <w:t>the International Statistical Classification of Diseases and Related Health</w:t>
      </w:r>
    </w:p>
    <w:p w14:paraId="3F475ED9" w14:textId="77777777" w:rsidR="007168C7" w:rsidRPr="00AF5378" w:rsidRDefault="007168C7" w:rsidP="004B2420">
      <w:pPr>
        <w:pStyle w:val="NoSpacing"/>
        <w:ind w:left="720"/>
        <w:rPr>
          <w:rFonts w:ascii="Palatino Linotype" w:hAnsi="Palatino Linotype"/>
          <w:sz w:val="24"/>
          <w:szCs w:val="24"/>
        </w:rPr>
      </w:pPr>
      <w:r w:rsidRPr="00AF5378">
        <w:rPr>
          <w:rFonts w:ascii="Palatino Linotype" w:hAnsi="Palatino Linotype"/>
          <w:sz w:val="24"/>
          <w:szCs w:val="24"/>
        </w:rPr>
        <w:t>Problems.</w:t>
      </w:r>
    </w:p>
    <w:p w14:paraId="20996727" w14:textId="77777777" w:rsidR="004B2420" w:rsidRPr="00AF5378" w:rsidDel="00FB41D6" w:rsidRDefault="004B2420" w:rsidP="004B2420">
      <w:pPr>
        <w:pStyle w:val="NoSpacing"/>
        <w:ind w:left="720"/>
        <w:rPr>
          <w:rFonts w:ascii="Palatino Linotype" w:hAnsi="Palatino Linotype"/>
          <w:sz w:val="24"/>
          <w:szCs w:val="24"/>
        </w:rPr>
      </w:pPr>
    </w:p>
    <w:p w14:paraId="3F8EB541" w14:textId="300E844C" w:rsidR="007168C7" w:rsidRPr="00AF5378" w:rsidRDefault="007168C7" w:rsidP="004B2420">
      <w:pPr>
        <w:pStyle w:val="NoSpacing"/>
        <w:ind w:left="720"/>
        <w:rPr>
          <w:rFonts w:ascii="Palatino Linotype" w:hAnsi="Palatino Linotype"/>
          <w:b/>
          <w:bCs/>
          <w:sz w:val="24"/>
          <w:szCs w:val="24"/>
          <w:u w:val="single"/>
        </w:rPr>
      </w:pPr>
      <w:r w:rsidRPr="00AF5378">
        <w:rPr>
          <w:rFonts w:ascii="Palatino Linotype" w:hAnsi="Palatino Linotype"/>
          <w:sz w:val="24"/>
          <w:szCs w:val="24"/>
        </w:rPr>
        <w:t>b. A suspected mental disorder that has not yet been diagnosed.</w:t>
      </w:r>
      <w:r w:rsidRPr="00AF5378">
        <w:rPr>
          <w:rFonts w:ascii="Palatino Linotype" w:hAnsi="Palatino Linotype"/>
          <w:b/>
          <w:bCs/>
          <w:sz w:val="24"/>
          <w:szCs w:val="24"/>
          <w:u w:val="single"/>
        </w:rPr>
        <w:cr/>
      </w:r>
    </w:p>
    <w:p w14:paraId="72E763C8" w14:textId="15569E3C" w:rsidR="00774A90" w:rsidRPr="00AF5378" w:rsidRDefault="00774A90" w:rsidP="00774A90">
      <w:pPr>
        <w:pStyle w:val="NoSpacing"/>
        <w:rPr>
          <w:rFonts w:ascii="Palatino Linotype" w:hAnsi="Palatino Linotype"/>
          <w:b/>
          <w:bCs/>
          <w:sz w:val="24"/>
          <w:szCs w:val="24"/>
          <w:u w:val="single"/>
        </w:rPr>
      </w:pPr>
      <w:r w:rsidRPr="00AF5378">
        <w:rPr>
          <w:rFonts w:ascii="Palatino Linotype" w:hAnsi="Palatino Linotype"/>
          <w:b/>
          <w:bCs/>
          <w:sz w:val="24"/>
          <w:szCs w:val="24"/>
          <w:u w:val="single"/>
        </w:rPr>
        <w:t>Criteria for Beneficiaries under Age 21 to Access the Specialty Mental Health Services Delivery System</w:t>
      </w:r>
    </w:p>
    <w:p w14:paraId="425C2DC8" w14:textId="77777777" w:rsidR="00774A90" w:rsidRPr="00AF5378" w:rsidRDefault="00774A90" w:rsidP="00774A90">
      <w:pPr>
        <w:pStyle w:val="NoSpacing"/>
        <w:rPr>
          <w:rFonts w:ascii="Palatino Linotype" w:hAnsi="Palatino Linotype"/>
          <w:b/>
          <w:bCs/>
          <w:sz w:val="24"/>
          <w:szCs w:val="24"/>
          <w:u w:val="single"/>
        </w:rPr>
      </w:pPr>
    </w:p>
    <w:p w14:paraId="31EBE61E" w14:textId="207AA771" w:rsidR="00774A90" w:rsidRPr="00AF5378" w:rsidRDefault="00774A90" w:rsidP="00774A90">
      <w:pPr>
        <w:pStyle w:val="NoSpacing"/>
        <w:rPr>
          <w:rFonts w:ascii="Palatino Linotype" w:hAnsi="Palatino Linotype"/>
          <w:sz w:val="24"/>
          <w:szCs w:val="24"/>
        </w:rPr>
      </w:pPr>
      <w:r w:rsidRPr="00AF5378">
        <w:rPr>
          <w:rFonts w:ascii="Palatino Linotype" w:hAnsi="Palatino Linotype"/>
          <w:sz w:val="24"/>
          <w:szCs w:val="24"/>
        </w:rPr>
        <w:t xml:space="preserve">For enrolled beneficiaries under 21 years of age, a county </w:t>
      </w:r>
      <w:r w:rsidR="00522185" w:rsidRPr="00AF5378">
        <w:rPr>
          <w:rFonts w:ascii="Palatino Linotype" w:hAnsi="Palatino Linotype"/>
          <w:sz w:val="24"/>
          <w:szCs w:val="24"/>
        </w:rPr>
        <w:t>MHP</w:t>
      </w:r>
      <w:r w:rsidR="00C05242" w:rsidRPr="00AF5378">
        <w:rPr>
          <w:rFonts w:ascii="Palatino Linotype" w:hAnsi="Palatino Linotype"/>
          <w:sz w:val="24"/>
          <w:szCs w:val="24"/>
        </w:rPr>
        <w:t xml:space="preserve"> </w:t>
      </w:r>
      <w:r w:rsidRPr="00AF5378">
        <w:rPr>
          <w:rFonts w:ascii="Palatino Linotype" w:hAnsi="Palatino Linotype"/>
          <w:sz w:val="24"/>
          <w:szCs w:val="24"/>
        </w:rPr>
        <w:t>shall</w:t>
      </w:r>
    </w:p>
    <w:p w14:paraId="0C5BFC60" w14:textId="1CE2D62C" w:rsidR="00774A90" w:rsidRPr="00AF5378" w:rsidRDefault="00774A90" w:rsidP="00774A90">
      <w:pPr>
        <w:pStyle w:val="NoSpacing"/>
        <w:rPr>
          <w:rFonts w:ascii="Palatino Linotype" w:hAnsi="Palatino Linotype"/>
          <w:sz w:val="24"/>
          <w:szCs w:val="24"/>
        </w:rPr>
      </w:pPr>
      <w:r w:rsidRPr="00AF5378">
        <w:rPr>
          <w:rFonts w:ascii="Palatino Linotype" w:hAnsi="Palatino Linotype"/>
          <w:sz w:val="24"/>
          <w:szCs w:val="24"/>
        </w:rPr>
        <w:t xml:space="preserve">provide all medically necessary </w:t>
      </w:r>
      <w:r w:rsidR="00763C8D" w:rsidRPr="00AF5378">
        <w:rPr>
          <w:rFonts w:ascii="Palatino Linotype" w:hAnsi="Palatino Linotype"/>
          <w:sz w:val="24"/>
          <w:szCs w:val="24"/>
        </w:rPr>
        <w:t>SMHS</w:t>
      </w:r>
      <w:r w:rsidRPr="00AF5378">
        <w:rPr>
          <w:rFonts w:ascii="Palatino Linotype" w:hAnsi="Palatino Linotype"/>
          <w:sz w:val="24"/>
          <w:szCs w:val="24"/>
        </w:rPr>
        <w:t xml:space="preserve"> required pursuant to</w:t>
      </w:r>
      <w:r w:rsidR="00A06EA4" w:rsidRPr="00AF5378">
        <w:rPr>
          <w:rFonts w:ascii="Palatino Linotype" w:hAnsi="Palatino Linotype"/>
          <w:sz w:val="24"/>
          <w:szCs w:val="24"/>
        </w:rPr>
        <w:t xml:space="preserve"> </w:t>
      </w:r>
      <w:r w:rsidRPr="00AF5378">
        <w:rPr>
          <w:rFonts w:ascii="Palatino Linotype" w:hAnsi="Palatino Linotype"/>
          <w:sz w:val="24"/>
          <w:szCs w:val="24"/>
        </w:rPr>
        <w:t xml:space="preserve">Section 1396d(r) of Title 42 of the United States Code. Covered </w:t>
      </w:r>
      <w:r w:rsidR="00E536D3" w:rsidRPr="00AF5378">
        <w:rPr>
          <w:rFonts w:ascii="Palatino Linotype" w:hAnsi="Palatino Linotype"/>
          <w:sz w:val="24"/>
          <w:szCs w:val="24"/>
        </w:rPr>
        <w:t>SMHS</w:t>
      </w:r>
      <w:r w:rsidRPr="00AF5378">
        <w:rPr>
          <w:rFonts w:ascii="Palatino Linotype" w:hAnsi="Palatino Linotype"/>
          <w:sz w:val="24"/>
          <w:szCs w:val="24"/>
        </w:rPr>
        <w:t xml:space="preserve"> shall be provided to enrolled beneficiaries who meet either of the following</w:t>
      </w:r>
      <w:r w:rsidR="00E536D3" w:rsidRPr="00AF5378">
        <w:rPr>
          <w:rFonts w:ascii="Palatino Linotype" w:hAnsi="Palatino Linotype"/>
          <w:sz w:val="24"/>
          <w:szCs w:val="24"/>
        </w:rPr>
        <w:t xml:space="preserve"> </w:t>
      </w:r>
      <w:r w:rsidRPr="00AF5378">
        <w:rPr>
          <w:rFonts w:ascii="Palatino Linotype" w:hAnsi="Palatino Linotype"/>
          <w:sz w:val="24"/>
          <w:szCs w:val="24"/>
        </w:rPr>
        <w:t>criteria, (1) or (2) below:</w:t>
      </w:r>
    </w:p>
    <w:p w14:paraId="39285BAB" w14:textId="77777777" w:rsidR="00103A26" w:rsidRPr="00AF5378" w:rsidRDefault="00103A26" w:rsidP="00774A90">
      <w:pPr>
        <w:pStyle w:val="NoSpacing"/>
        <w:rPr>
          <w:rFonts w:ascii="Palatino Linotype" w:hAnsi="Palatino Linotype"/>
          <w:sz w:val="24"/>
          <w:szCs w:val="24"/>
        </w:rPr>
      </w:pPr>
    </w:p>
    <w:p w14:paraId="7F2C5113" w14:textId="40FACD87" w:rsidR="00774A90" w:rsidRPr="00AF5378" w:rsidRDefault="00774A90" w:rsidP="0002137A">
      <w:pPr>
        <w:pStyle w:val="NoSpacing"/>
        <w:numPr>
          <w:ilvl w:val="0"/>
          <w:numId w:val="14"/>
        </w:numPr>
        <w:rPr>
          <w:rFonts w:ascii="Palatino Linotype" w:hAnsi="Palatino Linotype"/>
          <w:sz w:val="24"/>
          <w:szCs w:val="24"/>
        </w:rPr>
      </w:pPr>
      <w:r w:rsidRPr="00AF5378">
        <w:rPr>
          <w:rFonts w:ascii="Palatino Linotype" w:hAnsi="Palatino Linotype"/>
          <w:sz w:val="24"/>
          <w:szCs w:val="24"/>
        </w:rPr>
        <w:t>The beneficiary has a condition placing them at high risk for a mental health</w:t>
      </w:r>
    </w:p>
    <w:p w14:paraId="622F4D99" w14:textId="77777777" w:rsidR="00774A90" w:rsidRPr="00AF5378" w:rsidRDefault="00774A90" w:rsidP="00E823DF">
      <w:pPr>
        <w:pStyle w:val="NoSpacing"/>
        <w:ind w:firstLine="720"/>
        <w:rPr>
          <w:rFonts w:ascii="Palatino Linotype" w:hAnsi="Palatino Linotype"/>
          <w:sz w:val="24"/>
          <w:szCs w:val="24"/>
        </w:rPr>
      </w:pPr>
      <w:r w:rsidRPr="00AF5378">
        <w:rPr>
          <w:rFonts w:ascii="Palatino Linotype" w:hAnsi="Palatino Linotype"/>
          <w:sz w:val="24"/>
          <w:szCs w:val="24"/>
        </w:rPr>
        <w:t>disorder due to experience of trauma evidenced by any of the following: scoring</w:t>
      </w:r>
    </w:p>
    <w:p w14:paraId="4BC0BE9F" w14:textId="77777777" w:rsidR="00774A90" w:rsidRPr="00AF5378" w:rsidRDefault="00774A90" w:rsidP="00E823DF">
      <w:pPr>
        <w:pStyle w:val="NoSpacing"/>
        <w:ind w:firstLine="720"/>
        <w:rPr>
          <w:rFonts w:ascii="Palatino Linotype" w:hAnsi="Palatino Linotype"/>
          <w:sz w:val="24"/>
          <w:szCs w:val="24"/>
        </w:rPr>
      </w:pPr>
      <w:r w:rsidRPr="00AF5378">
        <w:rPr>
          <w:rFonts w:ascii="Palatino Linotype" w:hAnsi="Palatino Linotype"/>
          <w:sz w:val="24"/>
          <w:szCs w:val="24"/>
        </w:rPr>
        <w:t>in the high-risk range under a trauma screening tool approved by the</w:t>
      </w:r>
    </w:p>
    <w:p w14:paraId="4121D8D8" w14:textId="2B3C0E7D" w:rsidR="00774A90" w:rsidRPr="00AF5378" w:rsidRDefault="00774A90" w:rsidP="00E823DF">
      <w:pPr>
        <w:pStyle w:val="NoSpacing"/>
        <w:ind w:firstLine="720"/>
        <w:rPr>
          <w:rFonts w:ascii="Palatino Linotype" w:hAnsi="Palatino Linotype"/>
          <w:sz w:val="24"/>
          <w:szCs w:val="24"/>
        </w:rPr>
      </w:pPr>
      <w:r w:rsidRPr="00AF5378">
        <w:rPr>
          <w:rFonts w:ascii="Palatino Linotype" w:hAnsi="Palatino Linotype"/>
          <w:sz w:val="24"/>
          <w:szCs w:val="24"/>
        </w:rPr>
        <w:t>department</w:t>
      </w:r>
      <w:r w:rsidR="004D249F" w:rsidRPr="00AF5378">
        <w:rPr>
          <w:rFonts w:ascii="Palatino Linotype" w:hAnsi="Palatino Linotype"/>
          <w:sz w:val="24"/>
          <w:szCs w:val="24"/>
        </w:rPr>
        <w:t>,</w:t>
      </w:r>
      <w:r w:rsidR="00476F2B" w:rsidRPr="00AF5378">
        <w:rPr>
          <w:rStyle w:val="FootnoteReference"/>
          <w:rFonts w:ascii="Palatino Linotype" w:hAnsi="Palatino Linotype"/>
          <w:sz w:val="24"/>
          <w:szCs w:val="24"/>
        </w:rPr>
        <w:footnoteReference w:id="5"/>
      </w:r>
      <w:r w:rsidRPr="00AF5378">
        <w:rPr>
          <w:rFonts w:ascii="Palatino Linotype" w:hAnsi="Palatino Linotype"/>
          <w:sz w:val="24"/>
          <w:szCs w:val="24"/>
        </w:rPr>
        <w:t xml:space="preserve"> involvement in the child welfare system, juvenile justice</w:t>
      </w:r>
    </w:p>
    <w:p w14:paraId="4A88AA03" w14:textId="36EEAB10" w:rsidR="00774A90" w:rsidRPr="00AF5378" w:rsidRDefault="00774A90" w:rsidP="00E823DF">
      <w:pPr>
        <w:pStyle w:val="NoSpacing"/>
        <w:ind w:firstLine="720"/>
        <w:rPr>
          <w:rFonts w:ascii="Palatino Linotype" w:hAnsi="Palatino Linotype"/>
          <w:sz w:val="24"/>
          <w:szCs w:val="24"/>
        </w:rPr>
      </w:pPr>
      <w:r w:rsidRPr="00AF5378">
        <w:rPr>
          <w:rFonts w:ascii="Palatino Linotype" w:hAnsi="Palatino Linotype"/>
          <w:sz w:val="24"/>
          <w:szCs w:val="24"/>
        </w:rPr>
        <w:t>involvement, or experiencing homelessness.</w:t>
      </w:r>
    </w:p>
    <w:p w14:paraId="77EF233B" w14:textId="402734FF" w:rsidR="00774A90" w:rsidRPr="00AF5378" w:rsidRDefault="00774A90" w:rsidP="00774A90">
      <w:pPr>
        <w:pStyle w:val="NoSpacing"/>
        <w:rPr>
          <w:rFonts w:ascii="Palatino Linotype" w:hAnsi="Palatino Linotype"/>
          <w:sz w:val="24"/>
          <w:szCs w:val="24"/>
        </w:rPr>
      </w:pPr>
    </w:p>
    <w:p w14:paraId="2C278F16" w14:textId="77777777" w:rsidR="00774A90" w:rsidRPr="00AF5378" w:rsidRDefault="00774A90" w:rsidP="00774A90">
      <w:pPr>
        <w:pStyle w:val="NoSpacing"/>
        <w:rPr>
          <w:rFonts w:ascii="Palatino Linotype" w:hAnsi="Palatino Linotype"/>
          <w:b/>
          <w:bCs/>
          <w:sz w:val="24"/>
          <w:szCs w:val="24"/>
        </w:rPr>
      </w:pPr>
      <w:r w:rsidRPr="00AF5378">
        <w:rPr>
          <w:rFonts w:ascii="Palatino Linotype" w:hAnsi="Palatino Linotype"/>
          <w:b/>
          <w:bCs/>
          <w:sz w:val="24"/>
          <w:szCs w:val="24"/>
        </w:rPr>
        <w:t>OR</w:t>
      </w:r>
    </w:p>
    <w:p w14:paraId="41AD4C38" w14:textId="77777777" w:rsidR="00A40F1C" w:rsidRPr="00AF5378" w:rsidRDefault="00A40F1C" w:rsidP="00774A90">
      <w:pPr>
        <w:pStyle w:val="NoSpacing"/>
        <w:rPr>
          <w:rFonts w:ascii="Palatino Linotype" w:hAnsi="Palatino Linotype"/>
          <w:b/>
          <w:bCs/>
          <w:sz w:val="24"/>
          <w:szCs w:val="24"/>
        </w:rPr>
      </w:pPr>
    </w:p>
    <w:p w14:paraId="04A91431" w14:textId="2F1444AC" w:rsidR="00774A90" w:rsidRPr="00AF5378" w:rsidRDefault="00774A90" w:rsidP="0002137A">
      <w:pPr>
        <w:pStyle w:val="NoSpacing"/>
        <w:numPr>
          <w:ilvl w:val="0"/>
          <w:numId w:val="14"/>
        </w:numPr>
        <w:rPr>
          <w:rFonts w:ascii="Palatino Linotype" w:hAnsi="Palatino Linotype"/>
          <w:sz w:val="24"/>
          <w:szCs w:val="24"/>
        </w:rPr>
      </w:pPr>
      <w:r w:rsidRPr="00AF5378">
        <w:rPr>
          <w:rFonts w:ascii="Palatino Linotype" w:hAnsi="Palatino Linotype"/>
          <w:sz w:val="24"/>
          <w:szCs w:val="24"/>
        </w:rPr>
        <w:t>The beneficiary meets both of the following requirements in a) and b), below:</w:t>
      </w:r>
    </w:p>
    <w:p w14:paraId="6403A223" w14:textId="77777777" w:rsidR="00103A26" w:rsidRPr="00AF5378" w:rsidRDefault="00103A26" w:rsidP="00774A90">
      <w:pPr>
        <w:pStyle w:val="NoSpacing"/>
        <w:rPr>
          <w:rFonts w:ascii="Palatino Linotype" w:hAnsi="Palatino Linotype"/>
          <w:sz w:val="24"/>
          <w:szCs w:val="24"/>
        </w:rPr>
      </w:pPr>
    </w:p>
    <w:p w14:paraId="65783D11" w14:textId="2412C1C8" w:rsidR="00774A90" w:rsidRPr="00AF5378" w:rsidRDefault="00774A90" w:rsidP="0002137A">
      <w:pPr>
        <w:pStyle w:val="NoSpacing"/>
        <w:numPr>
          <w:ilvl w:val="0"/>
          <w:numId w:val="15"/>
        </w:numPr>
        <w:rPr>
          <w:rFonts w:ascii="Palatino Linotype" w:hAnsi="Palatino Linotype"/>
          <w:sz w:val="24"/>
          <w:szCs w:val="24"/>
        </w:rPr>
      </w:pPr>
      <w:r w:rsidRPr="00AF5378">
        <w:rPr>
          <w:rFonts w:ascii="Palatino Linotype" w:hAnsi="Palatino Linotype"/>
          <w:sz w:val="24"/>
          <w:szCs w:val="24"/>
        </w:rPr>
        <w:t>The beneficiary has at least one of the following:</w:t>
      </w:r>
    </w:p>
    <w:p w14:paraId="50CBA7E4" w14:textId="77777777" w:rsidR="00774A90" w:rsidRPr="00AF5378" w:rsidRDefault="00774A90" w:rsidP="00330E96">
      <w:pPr>
        <w:pStyle w:val="NoSpacing"/>
        <w:ind w:left="720"/>
        <w:rPr>
          <w:rFonts w:ascii="Palatino Linotype" w:hAnsi="Palatino Linotype"/>
          <w:sz w:val="24"/>
          <w:szCs w:val="24"/>
        </w:rPr>
      </w:pPr>
      <w:r w:rsidRPr="00AF5378">
        <w:rPr>
          <w:rFonts w:ascii="Palatino Linotype" w:hAnsi="Palatino Linotype"/>
          <w:sz w:val="24"/>
          <w:szCs w:val="24"/>
        </w:rPr>
        <w:t>i. A significant impairment</w:t>
      </w:r>
    </w:p>
    <w:p w14:paraId="2FF4B331" w14:textId="77777777" w:rsidR="00774A90" w:rsidRPr="00AF5378" w:rsidRDefault="00774A90" w:rsidP="00330E96">
      <w:pPr>
        <w:pStyle w:val="NoSpacing"/>
        <w:ind w:left="720"/>
        <w:rPr>
          <w:rFonts w:ascii="Palatino Linotype" w:hAnsi="Palatino Linotype"/>
          <w:sz w:val="24"/>
          <w:szCs w:val="24"/>
        </w:rPr>
      </w:pPr>
      <w:r w:rsidRPr="00AF5378">
        <w:rPr>
          <w:rFonts w:ascii="Palatino Linotype" w:hAnsi="Palatino Linotype"/>
          <w:sz w:val="24"/>
          <w:szCs w:val="24"/>
        </w:rPr>
        <w:t>ii. A reasonable probability of significant deterioration in an important</w:t>
      </w:r>
    </w:p>
    <w:p w14:paraId="598B1EB7" w14:textId="77777777" w:rsidR="00774A90" w:rsidRPr="00AF5378" w:rsidRDefault="00774A90" w:rsidP="00330E96">
      <w:pPr>
        <w:pStyle w:val="NoSpacing"/>
        <w:ind w:left="720"/>
        <w:rPr>
          <w:rFonts w:ascii="Palatino Linotype" w:hAnsi="Palatino Linotype"/>
          <w:sz w:val="24"/>
          <w:szCs w:val="24"/>
        </w:rPr>
      </w:pPr>
      <w:r w:rsidRPr="00AF5378">
        <w:rPr>
          <w:rFonts w:ascii="Palatino Linotype" w:hAnsi="Palatino Linotype"/>
          <w:sz w:val="24"/>
          <w:szCs w:val="24"/>
        </w:rPr>
        <w:t>area of life functioning</w:t>
      </w:r>
    </w:p>
    <w:p w14:paraId="492629FF" w14:textId="77777777" w:rsidR="00774A90" w:rsidRPr="00AF5378" w:rsidRDefault="00774A90" w:rsidP="00330E96">
      <w:pPr>
        <w:pStyle w:val="NoSpacing"/>
        <w:ind w:left="720"/>
        <w:rPr>
          <w:rFonts w:ascii="Palatino Linotype" w:hAnsi="Palatino Linotype"/>
          <w:sz w:val="24"/>
          <w:szCs w:val="24"/>
        </w:rPr>
      </w:pPr>
      <w:r w:rsidRPr="00AF5378">
        <w:rPr>
          <w:rFonts w:ascii="Palatino Linotype" w:hAnsi="Palatino Linotype"/>
          <w:sz w:val="24"/>
          <w:szCs w:val="24"/>
        </w:rPr>
        <w:t>iii. A reasonable probability of not progressing developmentally as</w:t>
      </w:r>
    </w:p>
    <w:p w14:paraId="5825FB78" w14:textId="77777777" w:rsidR="00774A90" w:rsidRPr="00AF5378" w:rsidRDefault="00774A90" w:rsidP="00330E96">
      <w:pPr>
        <w:pStyle w:val="NoSpacing"/>
        <w:ind w:left="720"/>
        <w:rPr>
          <w:rFonts w:ascii="Palatino Linotype" w:hAnsi="Palatino Linotype"/>
          <w:sz w:val="24"/>
          <w:szCs w:val="24"/>
        </w:rPr>
      </w:pPr>
      <w:r w:rsidRPr="00AF5378">
        <w:rPr>
          <w:rFonts w:ascii="Palatino Linotype" w:hAnsi="Palatino Linotype"/>
          <w:sz w:val="24"/>
          <w:szCs w:val="24"/>
        </w:rPr>
        <w:t>appropriate.</w:t>
      </w:r>
    </w:p>
    <w:p w14:paraId="1C36171F" w14:textId="34DE7B64" w:rsidR="007168C7" w:rsidRPr="00AF5378" w:rsidRDefault="00774A90" w:rsidP="00330E96">
      <w:pPr>
        <w:pStyle w:val="NoSpacing"/>
        <w:ind w:left="720"/>
        <w:rPr>
          <w:rFonts w:ascii="Palatino Linotype" w:hAnsi="Palatino Linotype"/>
          <w:sz w:val="24"/>
          <w:szCs w:val="24"/>
        </w:rPr>
      </w:pPr>
      <w:r w:rsidRPr="00AF5378">
        <w:rPr>
          <w:rFonts w:ascii="Palatino Linotype" w:hAnsi="Palatino Linotype"/>
          <w:sz w:val="24"/>
          <w:szCs w:val="24"/>
        </w:rPr>
        <w:lastRenderedPageBreak/>
        <w:t xml:space="preserve">iv. A need for </w:t>
      </w:r>
      <w:r w:rsidR="00BB6BDA" w:rsidRPr="00AF5378">
        <w:rPr>
          <w:rFonts w:ascii="Palatino Linotype" w:hAnsi="Palatino Linotype"/>
          <w:sz w:val="24"/>
          <w:szCs w:val="24"/>
        </w:rPr>
        <w:t>SMHS</w:t>
      </w:r>
      <w:r w:rsidRPr="00AF5378">
        <w:rPr>
          <w:rFonts w:ascii="Palatino Linotype" w:hAnsi="Palatino Linotype"/>
          <w:sz w:val="24"/>
          <w:szCs w:val="24"/>
        </w:rPr>
        <w:t>, regardless of presence of</w:t>
      </w:r>
      <w:r w:rsidR="00A07AF7" w:rsidRPr="00AF5378">
        <w:rPr>
          <w:rFonts w:ascii="Palatino Linotype" w:hAnsi="Palatino Linotype"/>
          <w:sz w:val="24"/>
          <w:szCs w:val="24"/>
        </w:rPr>
        <w:t xml:space="preserve"> </w:t>
      </w:r>
      <w:r w:rsidRPr="00AF5378">
        <w:rPr>
          <w:rFonts w:ascii="Palatino Linotype" w:hAnsi="Palatino Linotype"/>
          <w:sz w:val="24"/>
          <w:szCs w:val="24"/>
        </w:rPr>
        <w:t>impairment, that are not included within the mental health benefits that</w:t>
      </w:r>
      <w:r w:rsidR="00A07AF7" w:rsidRPr="00AF5378">
        <w:rPr>
          <w:rFonts w:ascii="Palatino Linotype" w:hAnsi="Palatino Linotype"/>
          <w:sz w:val="24"/>
          <w:szCs w:val="24"/>
        </w:rPr>
        <w:t xml:space="preserve"> </w:t>
      </w:r>
      <w:r w:rsidRPr="00AF5378">
        <w:rPr>
          <w:rFonts w:ascii="Palatino Linotype" w:hAnsi="Palatino Linotype"/>
          <w:sz w:val="24"/>
          <w:szCs w:val="24"/>
        </w:rPr>
        <w:t>a Medi-Cal managed care plan is required to provide</w:t>
      </w:r>
      <w:r w:rsidR="00330E96" w:rsidRPr="00AF5378">
        <w:rPr>
          <w:rFonts w:ascii="Palatino Linotype" w:hAnsi="Palatino Linotype"/>
          <w:sz w:val="24"/>
          <w:szCs w:val="24"/>
        </w:rPr>
        <w:t>.</w:t>
      </w:r>
    </w:p>
    <w:p w14:paraId="3AEA5344" w14:textId="77777777" w:rsidR="004B2420" w:rsidRPr="00AF5378" w:rsidRDefault="004B2420" w:rsidP="006E3AC7">
      <w:pPr>
        <w:pStyle w:val="NoSpacing"/>
        <w:rPr>
          <w:rFonts w:ascii="Palatino Linotype" w:hAnsi="Palatino Linotype"/>
          <w:b/>
          <w:bCs/>
          <w:sz w:val="24"/>
          <w:szCs w:val="24"/>
          <w:u w:val="single"/>
        </w:rPr>
      </w:pPr>
    </w:p>
    <w:p w14:paraId="225EE0D5" w14:textId="77777777" w:rsidR="0034519D" w:rsidRPr="00AF5378" w:rsidRDefault="0034519D" w:rsidP="0034519D">
      <w:pPr>
        <w:pStyle w:val="NoSpacing"/>
        <w:rPr>
          <w:rFonts w:ascii="Palatino Linotype" w:hAnsi="Palatino Linotype"/>
          <w:b/>
          <w:bCs/>
          <w:sz w:val="24"/>
          <w:szCs w:val="24"/>
        </w:rPr>
      </w:pPr>
      <w:r w:rsidRPr="00AF5378">
        <w:rPr>
          <w:rFonts w:ascii="Palatino Linotype" w:hAnsi="Palatino Linotype"/>
          <w:b/>
          <w:bCs/>
          <w:sz w:val="24"/>
          <w:szCs w:val="24"/>
        </w:rPr>
        <w:t>AND</w:t>
      </w:r>
    </w:p>
    <w:p w14:paraId="1C60B33E" w14:textId="77777777" w:rsidR="0034519D" w:rsidRPr="00AF5378" w:rsidRDefault="0034519D" w:rsidP="0034519D">
      <w:pPr>
        <w:pStyle w:val="NoSpacing"/>
        <w:rPr>
          <w:rFonts w:ascii="Palatino Linotype" w:hAnsi="Palatino Linotype"/>
          <w:sz w:val="24"/>
          <w:szCs w:val="24"/>
        </w:rPr>
      </w:pPr>
    </w:p>
    <w:p w14:paraId="2CE42046" w14:textId="3BEC1A14" w:rsidR="0034519D" w:rsidRPr="00AF5378" w:rsidRDefault="0034519D" w:rsidP="0002137A">
      <w:pPr>
        <w:pStyle w:val="NoSpacing"/>
        <w:numPr>
          <w:ilvl w:val="0"/>
          <w:numId w:val="15"/>
        </w:numPr>
        <w:rPr>
          <w:rFonts w:ascii="Palatino Linotype" w:hAnsi="Palatino Linotype"/>
          <w:sz w:val="24"/>
          <w:szCs w:val="24"/>
        </w:rPr>
      </w:pPr>
      <w:r w:rsidRPr="00AF5378">
        <w:rPr>
          <w:rFonts w:ascii="Palatino Linotype" w:hAnsi="Palatino Linotype"/>
          <w:sz w:val="24"/>
          <w:szCs w:val="24"/>
        </w:rPr>
        <w:t>The beneficiary’s condition as described in subparagraph (2) above is due</w:t>
      </w:r>
    </w:p>
    <w:p w14:paraId="46B6EF8D" w14:textId="77777777" w:rsidR="0034519D" w:rsidRPr="00AF5378" w:rsidRDefault="0034519D" w:rsidP="0002137A">
      <w:pPr>
        <w:pStyle w:val="NoSpacing"/>
        <w:ind w:firstLine="720"/>
        <w:rPr>
          <w:rFonts w:ascii="Palatino Linotype" w:hAnsi="Palatino Linotype"/>
          <w:sz w:val="24"/>
          <w:szCs w:val="24"/>
        </w:rPr>
      </w:pPr>
      <w:r w:rsidRPr="00AF5378">
        <w:rPr>
          <w:rFonts w:ascii="Palatino Linotype" w:hAnsi="Palatino Linotype"/>
          <w:sz w:val="24"/>
          <w:szCs w:val="24"/>
        </w:rPr>
        <w:t>to one of the following:</w:t>
      </w:r>
    </w:p>
    <w:p w14:paraId="3DA166D1" w14:textId="77777777" w:rsidR="00103A26" w:rsidRPr="00AF5378" w:rsidRDefault="00103A26" w:rsidP="0034519D">
      <w:pPr>
        <w:pStyle w:val="NoSpacing"/>
        <w:rPr>
          <w:rFonts w:ascii="Palatino Linotype" w:hAnsi="Palatino Linotype"/>
          <w:sz w:val="24"/>
          <w:szCs w:val="24"/>
        </w:rPr>
      </w:pPr>
    </w:p>
    <w:p w14:paraId="7310D10E" w14:textId="77777777" w:rsidR="0034519D" w:rsidRPr="00AF5378" w:rsidRDefault="0034519D" w:rsidP="0034519D">
      <w:pPr>
        <w:pStyle w:val="NoSpacing"/>
        <w:ind w:left="720"/>
        <w:rPr>
          <w:rFonts w:ascii="Palatino Linotype" w:hAnsi="Palatino Linotype"/>
          <w:sz w:val="24"/>
          <w:szCs w:val="24"/>
        </w:rPr>
      </w:pPr>
      <w:r w:rsidRPr="00AF5378">
        <w:rPr>
          <w:rFonts w:ascii="Palatino Linotype" w:hAnsi="Palatino Linotype"/>
          <w:sz w:val="24"/>
          <w:szCs w:val="24"/>
        </w:rPr>
        <w:t>i. A diagnosed mental health disorder, according to the criteria of the</w:t>
      </w:r>
    </w:p>
    <w:p w14:paraId="6731084F" w14:textId="77777777" w:rsidR="0034519D" w:rsidRPr="00AF5378" w:rsidRDefault="0034519D" w:rsidP="0034519D">
      <w:pPr>
        <w:pStyle w:val="NoSpacing"/>
        <w:ind w:left="720"/>
        <w:rPr>
          <w:rFonts w:ascii="Palatino Linotype" w:hAnsi="Palatino Linotype"/>
          <w:sz w:val="24"/>
          <w:szCs w:val="24"/>
        </w:rPr>
      </w:pPr>
      <w:r w:rsidRPr="00AF5378">
        <w:rPr>
          <w:rFonts w:ascii="Palatino Linotype" w:hAnsi="Palatino Linotype"/>
          <w:sz w:val="24"/>
          <w:szCs w:val="24"/>
        </w:rPr>
        <w:t xml:space="preserve">current editions of the Diagnostic and Statistical Manual of Mental </w:t>
      </w:r>
    </w:p>
    <w:p w14:paraId="5F18B336" w14:textId="30D83109" w:rsidR="0034519D" w:rsidRPr="00AF5378" w:rsidRDefault="0034519D" w:rsidP="0034519D">
      <w:pPr>
        <w:pStyle w:val="NoSpacing"/>
        <w:ind w:left="720"/>
        <w:rPr>
          <w:rFonts w:ascii="Palatino Linotype" w:hAnsi="Palatino Linotype"/>
          <w:sz w:val="24"/>
          <w:szCs w:val="24"/>
        </w:rPr>
      </w:pPr>
      <w:r w:rsidRPr="00AF5378">
        <w:rPr>
          <w:rFonts w:ascii="Palatino Linotype" w:hAnsi="Palatino Linotype"/>
          <w:sz w:val="24"/>
          <w:szCs w:val="24"/>
        </w:rPr>
        <w:t>Disorders</w:t>
      </w:r>
      <w:r w:rsidR="007E2286" w:rsidRPr="00AF5378">
        <w:rPr>
          <w:rStyle w:val="FootnoteReference"/>
          <w:rFonts w:ascii="Palatino Linotype" w:hAnsi="Palatino Linotype"/>
          <w:sz w:val="24"/>
          <w:szCs w:val="24"/>
        </w:rPr>
        <w:footnoteReference w:id="6"/>
      </w:r>
      <w:r w:rsidRPr="00AF5378">
        <w:rPr>
          <w:rFonts w:ascii="Palatino Linotype" w:hAnsi="Palatino Linotype"/>
          <w:sz w:val="24"/>
          <w:szCs w:val="24"/>
        </w:rPr>
        <w:t xml:space="preserve"> and the International Statistical Classification of Diseases </w:t>
      </w:r>
    </w:p>
    <w:p w14:paraId="1A660AA5" w14:textId="1D429134" w:rsidR="004C3F46" w:rsidRPr="00AF5378" w:rsidRDefault="0034519D" w:rsidP="0002137A">
      <w:pPr>
        <w:pStyle w:val="NoSpacing"/>
        <w:ind w:left="720"/>
        <w:rPr>
          <w:rFonts w:ascii="Palatino Linotype" w:hAnsi="Palatino Linotype"/>
          <w:sz w:val="24"/>
          <w:szCs w:val="24"/>
        </w:rPr>
      </w:pPr>
      <w:r w:rsidRPr="00AF5378">
        <w:rPr>
          <w:rFonts w:ascii="Palatino Linotype" w:hAnsi="Palatino Linotype"/>
          <w:sz w:val="24"/>
          <w:szCs w:val="24"/>
        </w:rPr>
        <w:t>and Related Health Problems.</w:t>
      </w:r>
    </w:p>
    <w:p w14:paraId="0D041ACB" w14:textId="043723B5" w:rsidR="004C3F46" w:rsidRPr="00AF5378" w:rsidRDefault="0034519D" w:rsidP="0002137A">
      <w:pPr>
        <w:pStyle w:val="NoSpacing"/>
        <w:ind w:left="720"/>
        <w:rPr>
          <w:rFonts w:ascii="Palatino Linotype" w:hAnsi="Palatino Linotype"/>
          <w:sz w:val="24"/>
          <w:szCs w:val="24"/>
        </w:rPr>
      </w:pPr>
      <w:r w:rsidRPr="00AF5378">
        <w:rPr>
          <w:rFonts w:ascii="Palatino Linotype" w:hAnsi="Palatino Linotype"/>
          <w:sz w:val="24"/>
          <w:szCs w:val="24"/>
        </w:rPr>
        <w:t>ii. A suspected mental health disorder that has not yet been diagnosed.</w:t>
      </w:r>
    </w:p>
    <w:p w14:paraId="26B3DCBA" w14:textId="77777777" w:rsidR="0034519D" w:rsidRPr="00AF5378" w:rsidRDefault="0034519D" w:rsidP="0034519D">
      <w:pPr>
        <w:pStyle w:val="NoSpacing"/>
        <w:ind w:left="720"/>
        <w:rPr>
          <w:rFonts w:ascii="Palatino Linotype" w:hAnsi="Palatino Linotype"/>
          <w:sz w:val="24"/>
          <w:szCs w:val="24"/>
        </w:rPr>
      </w:pPr>
      <w:r w:rsidRPr="00AF5378">
        <w:rPr>
          <w:rFonts w:ascii="Palatino Linotype" w:hAnsi="Palatino Linotype"/>
          <w:sz w:val="24"/>
          <w:szCs w:val="24"/>
        </w:rPr>
        <w:t>iii. Significant trauma placing the beneficiary at risk of a future mental</w:t>
      </w:r>
    </w:p>
    <w:p w14:paraId="5D278F74" w14:textId="77777777" w:rsidR="0034519D" w:rsidRPr="00AF5378" w:rsidRDefault="0034519D" w:rsidP="0034519D">
      <w:pPr>
        <w:pStyle w:val="NoSpacing"/>
        <w:ind w:left="720"/>
        <w:rPr>
          <w:rFonts w:ascii="Palatino Linotype" w:hAnsi="Palatino Linotype"/>
          <w:sz w:val="24"/>
          <w:szCs w:val="24"/>
        </w:rPr>
      </w:pPr>
      <w:r w:rsidRPr="00AF5378">
        <w:rPr>
          <w:rFonts w:ascii="Palatino Linotype" w:hAnsi="Palatino Linotype"/>
          <w:sz w:val="24"/>
          <w:szCs w:val="24"/>
        </w:rPr>
        <w:t>health condition, based on the assessment of a licensed mental health</w:t>
      </w:r>
    </w:p>
    <w:p w14:paraId="134EFF80" w14:textId="56A7F6D1" w:rsidR="0034519D" w:rsidRPr="00AF5378" w:rsidRDefault="0034519D" w:rsidP="0034519D">
      <w:pPr>
        <w:pStyle w:val="NoSpacing"/>
        <w:ind w:left="720"/>
        <w:rPr>
          <w:rFonts w:ascii="Palatino Linotype" w:hAnsi="Palatino Linotype"/>
          <w:b/>
          <w:bCs/>
          <w:sz w:val="24"/>
          <w:szCs w:val="24"/>
          <w:u w:val="single"/>
        </w:rPr>
      </w:pPr>
      <w:r w:rsidRPr="00AF5378">
        <w:rPr>
          <w:rFonts w:ascii="Palatino Linotype" w:hAnsi="Palatino Linotype"/>
          <w:sz w:val="24"/>
          <w:szCs w:val="24"/>
        </w:rPr>
        <w:t>professional.</w:t>
      </w:r>
      <w:r w:rsidR="000C2F2A" w:rsidRPr="00AF5378">
        <w:rPr>
          <w:rStyle w:val="FootnoteReference"/>
          <w:rFonts w:ascii="Palatino Linotype" w:hAnsi="Palatino Linotype"/>
          <w:sz w:val="24"/>
          <w:szCs w:val="24"/>
        </w:rPr>
        <w:footnoteReference w:id="7"/>
      </w:r>
    </w:p>
    <w:p w14:paraId="301F8805" w14:textId="77777777" w:rsidR="00E770B3" w:rsidRPr="00AF5378" w:rsidRDefault="00E770B3" w:rsidP="006E3AC7">
      <w:pPr>
        <w:pStyle w:val="NoSpacing"/>
        <w:rPr>
          <w:rFonts w:ascii="Palatino Linotype" w:hAnsi="Palatino Linotype"/>
          <w:b/>
          <w:bCs/>
          <w:sz w:val="24"/>
          <w:szCs w:val="24"/>
          <w:u w:val="single"/>
        </w:rPr>
      </w:pPr>
    </w:p>
    <w:p w14:paraId="74D449E7" w14:textId="5FABF5B5" w:rsidR="00050ECE" w:rsidRPr="00AF5378" w:rsidRDefault="00050ECE" w:rsidP="00050ECE">
      <w:pPr>
        <w:pStyle w:val="NoSpacing"/>
        <w:rPr>
          <w:rFonts w:ascii="Palatino Linotype" w:hAnsi="Palatino Linotype"/>
          <w:sz w:val="24"/>
          <w:szCs w:val="24"/>
        </w:rPr>
      </w:pPr>
      <w:r w:rsidRPr="00AF5378">
        <w:rPr>
          <w:rFonts w:ascii="Palatino Linotype" w:hAnsi="Palatino Linotype"/>
          <w:sz w:val="24"/>
          <w:szCs w:val="24"/>
        </w:rPr>
        <w:t>If a beneficiary under age 21 meets the criteria as described in (1) above, the</w:t>
      </w:r>
    </w:p>
    <w:p w14:paraId="0F242153" w14:textId="77777777" w:rsidR="00050ECE" w:rsidRPr="00AF5378" w:rsidRDefault="00050ECE" w:rsidP="00050ECE">
      <w:pPr>
        <w:pStyle w:val="NoSpacing"/>
        <w:rPr>
          <w:rFonts w:ascii="Palatino Linotype" w:hAnsi="Palatino Linotype"/>
          <w:sz w:val="24"/>
          <w:szCs w:val="24"/>
        </w:rPr>
      </w:pPr>
      <w:r w:rsidRPr="00AF5378">
        <w:rPr>
          <w:rFonts w:ascii="Palatino Linotype" w:hAnsi="Palatino Linotype"/>
          <w:sz w:val="24"/>
          <w:szCs w:val="24"/>
        </w:rPr>
        <w:t>beneficiary meets criteria to access SMHS; it is not necessary to establish that the</w:t>
      </w:r>
    </w:p>
    <w:p w14:paraId="0E8CD614" w14:textId="781F311C" w:rsidR="006E3AC7" w:rsidRPr="00AF5378" w:rsidRDefault="00050ECE" w:rsidP="00050ECE">
      <w:pPr>
        <w:pStyle w:val="NoSpacing"/>
        <w:rPr>
          <w:rFonts w:ascii="Palatino Linotype" w:hAnsi="Palatino Linotype"/>
          <w:sz w:val="24"/>
          <w:szCs w:val="24"/>
        </w:rPr>
      </w:pPr>
      <w:r w:rsidRPr="00AF5378">
        <w:rPr>
          <w:rFonts w:ascii="Palatino Linotype" w:hAnsi="Palatino Linotype"/>
          <w:sz w:val="24"/>
          <w:szCs w:val="24"/>
        </w:rPr>
        <w:t>beneficiary also meets the criteria in (2) above.</w:t>
      </w:r>
      <w:r w:rsidRPr="00AF5378">
        <w:rPr>
          <w:rFonts w:ascii="Palatino Linotype" w:hAnsi="Palatino Linotype"/>
          <w:sz w:val="24"/>
          <w:szCs w:val="24"/>
        </w:rPr>
        <w:cr/>
      </w:r>
    </w:p>
    <w:p w14:paraId="50C7CD7D" w14:textId="77777777" w:rsidR="00050ECE" w:rsidRPr="00AF5378" w:rsidRDefault="00050ECE" w:rsidP="00050ECE">
      <w:pPr>
        <w:pStyle w:val="NoSpacing"/>
        <w:rPr>
          <w:rFonts w:ascii="Palatino Linotype" w:hAnsi="Palatino Linotype"/>
          <w:b/>
          <w:bCs/>
          <w:sz w:val="24"/>
          <w:szCs w:val="24"/>
          <w:u w:val="single"/>
        </w:rPr>
      </w:pPr>
      <w:r w:rsidRPr="00AF5378">
        <w:rPr>
          <w:rFonts w:ascii="Palatino Linotype" w:hAnsi="Palatino Linotype"/>
          <w:b/>
          <w:bCs/>
          <w:sz w:val="24"/>
          <w:szCs w:val="24"/>
          <w:u w:val="single"/>
        </w:rPr>
        <w:t>Additional Coverage Requirements and Clarifications</w:t>
      </w:r>
    </w:p>
    <w:p w14:paraId="0213A09A" w14:textId="77777777" w:rsidR="00050ECE" w:rsidRPr="00AF5378" w:rsidRDefault="00050ECE" w:rsidP="00050ECE">
      <w:pPr>
        <w:pStyle w:val="NoSpacing"/>
        <w:rPr>
          <w:rFonts w:ascii="Palatino Linotype" w:hAnsi="Palatino Linotype"/>
          <w:sz w:val="24"/>
          <w:szCs w:val="24"/>
        </w:rPr>
      </w:pPr>
    </w:p>
    <w:p w14:paraId="1C2322DB" w14:textId="149A64A4" w:rsidR="00050ECE" w:rsidRPr="00AF5378" w:rsidRDefault="00050ECE" w:rsidP="00050ECE">
      <w:pPr>
        <w:pStyle w:val="NoSpacing"/>
        <w:rPr>
          <w:rFonts w:ascii="Palatino Linotype" w:hAnsi="Palatino Linotype"/>
          <w:sz w:val="24"/>
          <w:szCs w:val="24"/>
        </w:rPr>
      </w:pPr>
      <w:r w:rsidRPr="00AF5378">
        <w:rPr>
          <w:rFonts w:ascii="Palatino Linotype" w:hAnsi="Palatino Linotype"/>
          <w:sz w:val="24"/>
          <w:szCs w:val="24"/>
        </w:rPr>
        <w:t xml:space="preserve">This criteria for a beneficiary to access the SMHS delivery system (except for </w:t>
      </w:r>
    </w:p>
    <w:p w14:paraId="0AFCFB5C" w14:textId="77777777" w:rsidR="00050ECE" w:rsidRPr="00AF5378" w:rsidRDefault="00050ECE" w:rsidP="00050ECE">
      <w:pPr>
        <w:pStyle w:val="NoSpacing"/>
        <w:rPr>
          <w:rFonts w:ascii="Palatino Linotype" w:hAnsi="Palatino Linotype"/>
          <w:sz w:val="24"/>
          <w:szCs w:val="24"/>
        </w:rPr>
      </w:pPr>
      <w:r w:rsidRPr="00AF5378">
        <w:rPr>
          <w:rFonts w:ascii="Palatino Linotype" w:hAnsi="Palatino Linotype"/>
          <w:sz w:val="24"/>
          <w:szCs w:val="24"/>
        </w:rPr>
        <w:t>psychiatric inpatient hospital and psychiatric health facility services) set forth above</w:t>
      </w:r>
    </w:p>
    <w:p w14:paraId="2643BD0F" w14:textId="77777777" w:rsidR="00050ECE" w:rsidRPr="00AF5378" w:rsidRDefault="00050ECE" w:rsidP="00050ECE">
      <w:pPr>
        <w:pStyle w:val="NoSpacing"/>
        <w:rPr>
          <w:rFonts w:ascii="Palatino Linotype" w:hAnsi="Palatino Linotype"/>
          <w:sz w:val="24"/>
          <w:szCs w:val="24"/>
        </w:rPr>
      </w:pPr>
      <w:r w:rsidRPr="00AF5378">
        <w:rPr>
          <w:rFonts w:ascii="Palatino Linotype" w:hAnsi="Palatino Linotype"/>
          <w:sz w:val="24"/>
          <w:szCs w:val="24"/>
        </w:rPr>
        <w:t>shall not be construed to exclude coverage for, or reimbursement of, a clinically</w:t>
      </w:r>
    </w:p>
    <w:p w14:paraId="0FB8AA9D" w14:textId="77777777" w:rsidR="00050ECE" w:rsidRPr="00AF5378" w:rsidRDefault="00050ECE" w:rsidP="00050ECE">
      <w:pPr>
        <w:pStyle w:val="NoSpacing"/>
        <w:rPr>
          <w:rFonts w:ascii="Palatino Linotype" w:hAnsi="Palatino Linotype"/>
          <w:sz w:val="24"/>
          <w:szCs w:val="24"/>
        </w:rPr>
      </w:pPr>
      <w:r w:rsidRPr="00AF5378">
        <w:rPr>
          <w:rFonts w:ascii="Palatino Linotype" w:hAnsi="Palatino Linotype"/>
          <w:sz w:val="24"/>
          <w:szCs w:val="24"/>
        </w:rPr>
        <w:t>appropriate and covered mental health prevention, screening, assessment, treatment,</w:t>
      </w:r>
    </w:p>
    <w:p w14:paraId="3A760B6C" w14:textId="77777777" w:rsidR="00050ECE" w:rsidRPr="00AF5378" w:rsidRDefault="00050ECE" w:rsidP="00050ECE">
      <w:pPr>
        <w:pStyle w:val="NoSpacing"/>
        <w:rPr>
          <w:rFonts w:ascii="Palatino Linotype" w:hAnsi="Palatino Linotype"/>
          <w:sz w:val="24"/>
          <w:szCs w:val="24"/>
        </w:rPr>
      </w:pPr>
      <w:r w:rsidRPr="00AF5378">
        <w:rPr>
          <w:rFonts w:ascii="Palatino Linotype" w:hAnsi="Palatino Linotype"/>
          <w:sz w:val="24"/>
          <w:szCs w:val="24"/>
        </w:rPr>
        <w:t>or recovery service under any of the following circumstances:</w:t>
      </w:r>
    </w:p>
    <w:p w14:paraId="0C82464C" w14:textId="77777777" w:rsidR="00050ECE" w:rsidRPr="00AF5378" w:rsidRDefault="00050ECE" w:rsidP="00050ECE">
      <w:pPr>
        <w:pStyle w:val="NoSpacing"/>
        <w:rPr>
          <w:rFonts w:ascii="Palatino Linotype" w:hAnsi="Palatino Linotype"/>
          <w:sz w:val="24"/>
          <w:szCs w:val="24"/>
        </w:rPr>
      </w:pPr>
    </w:p>
    <w:p w14:paraId="5DA10586" w14:textId="4CE51C7A" w:rsidR="00050ECE" w:rsidRPr="00AF5378" w:rsidRDefault="00050ECE" w:rsidP="00050ECE">
      <w:pPr>
        <w:pStyle w:val="NoSpacing"/>
        <w:numPr>
          <w:ilvl w:val="0"/>
          <w:numId w:val="10"/>
        </w:numPr>
        <w:rPr>
          <w:rFonts w:ascii="Palatino Linotype" w:hAnsi="Palatino Linotype"/>
          <w:sz w:val="24"/>
          <w:szCs w:val="24"/>
        </w:rPr>
      </w:pPr>
      <w:r w:rsidRPr="00AF5378">
        <w:rPr>
          <w:rFonts w:ascii="Palatino Linotype" w:hAnsi="Palatino Linotype"/>
          <w:sz w:val="24"/>
          <w:szCs w:val="24"/>
        </w:rPr>
        <w:t>Services were provided prior to determining a diagnosis, including clinically</w:t>
      </w:r>
    </w:p>
    <w:p w14:paraId="055DD6FA" w14:textId="77777777" w:rsidR="00050ECE" w:rsidRPr="00AF5378" w:rsidRDefault="00050ECE" w:rsidP="00050ECE">
      <w:pPr>
        <w:pStyle w:val="NoSpacing"/>
        <w:ind w:left="720"/>
        <w:rPr>
          <w:rFonts w:ascii="Palatino Linotype" w:hAnsi="Palatino Linotype"/>
          <w:sz w:val="24"/>
          <w:szCs w:val="24"/>
        </w:rPr>
      </w:pPr>
      <w:r w:rsidRPr="00AF5378">
        <w:rPr>
          <w:rFonts w:ascii="Palatino Linotype" w:hAnsi="Palatino Linotype"/>
          <w:sz w:val="24"/>
          <w:szCs w:val="24"/>
        </w:rPr>
        <w:t>appropriate and covered services provided during the assessment process.</w:t>
      </w:r>
    </w:p>
    <w:p w14:paraId="53C46C87" w14:textId="77777777" w:rsidR="00050ECE" w:rsidRPr="00AF5378" w:rsidRDefault="00050ECE" w:rsidP="00050ECE">
      <w:pPr>
        <w:pStyle w:val="NoSpacing"/>
        <w:ind w:left="720"/>
        <w:rPr>
          <w:rFonts w:ascii="Palatino Linotype" w:hAnsi="Palatino Linotype"/>
          <w:sz w:val="24"/>
          <w:szCs w:val="24"/>
        </w:rPr>
      </w:pPr>
    </w:p>
    <w:p w14:paraId="7C0CDA82" w14:textId="5C6940BB" w:rsidR="00050ECE" w:rsidRPr="00AF5378" w:rsidRDefault="00050ECE" w:rsidP="00050ECE">
      <w:pPr>
        <w:pStyle w:val="NoSpacing"/>
        <w:numPr>
          <w:ilvl w:val="0"/>
          <w:numId w:val="10"/>
        </w:numPr>
        <w:rPr>
          <w:rFonts w:ascii="Palatino Linotype" w:hAnsi="Palatino Linotype"/>
          <w:sz w:val="24"/>
          <w:szCs w:val="24"/>
        </w:rPr>
      </w:pPr>
      <w:r w:rsidRPr="00AF5378">
        <w:rPr>
          <w:rFonts w:ascii="Palatino Linotype" w:hAnsi="Palatino Linotype"/>
          <w:sz w:val="24"/>
          <w:szCs w:val="24"/>
        </w:rPr>
        <w:t xml:space="preserve">The prevention, screening, assessment, treatment, or recovery service was not </w:t>
      </w:r>
    </w:p>
    <w:p w14:paraId="4D8EF0D0" w14:textId="6FF95767" w:rsidR="00050ECE" w:rsidRPr="00AF5378" w:rsidRDefault="00050ECE" w:rsidP="00050ECE">
      <w:pPr>
        <w:pStyle w:val="NoSpacing"/>
        <w:ind w:left="720"/>
        <w:rPr>
          <w:rFonts w:ascii="Palatino Linotype" w:hAnsi="Palatino Linotype"/>
          <w:sz w:val="24"/>
          <w:szCs w:val="24"/>
        </w:rPr>
      </w:pPr>
      <w:r w:rsidRPr="00AF5378">
        <w:rPr>
          <w:rFonts w:ascii="Palatino Linotype" w:hAnsi="Palatino Linotype"/>
          <w:sz w:val="24"/>
          <w:szCs w:val="24"/>
        </w:rPr>
        <w:lastRenderedPageBreak/>
        <w:t>included in an individual treatment plan.</w:t>
      </w:r>
      <w:r w:rsidR="00F852C7" w:rsidRPr="00AF5378">
        <w:rPr>
          <w:rStyle w:val="FootnoteReference"/>
          <w:rFonts w:ascii="Palatino Linotype" w:hAnsi="Palatino Linotype"/>
          <w:sz w:val="24"/>
          <w:szCs w:val="24"/>
        </w:rPr>
        <w:footnoteReference w:id="8"/>
      </w:r>
    </w:p>
    <w:p w14:paraId="3B032C94" w14:textId="77777777" w:rsidR="00050ECE" w:rsidRPr="00AF5378" w:rsidRDefault="00050ECE" w:rsidP="00050ECE">
      <w:pPr>
        <w:pStyle w:val="NoSpacing"/>
        <w:ind w:left="720"/>
        <w:rPr>
          <w:rFonts w:ascii="Palatino Linotype" w:hAnsi="Palatino Linotype"/>
          <w:sz w:val="24"/>
          <w:szCs w:val="24"/>
        </w:rPr>
      </w:pPr>
    </w:p>
    <w:p w14:paraId="46945318" w14:textId="0FD82A09" w:rsidR="00050ECE" w:rsidRPr="00AF5378" w:rsidRDefault="00050ECE" w:rsidP="00050ECE">
      <w:pPr>
        <w:pStyle w:val="NoSpacing"/>
        <w:numPr>
          <w:ilvl w:val="0"/>
          <w:numId w:val="10"/>
        </w:numPr>
        <w:rPr>
          <w:rFonts w:ascii="Palatino Linotype" w:hAnsi="Palatino Linotype"/>
          <w:sz w:val="24"/>
          <w:szCs w:val="24"/>
        </w:rPr>
      </w:pPr>
      <w:r w:rsidRPr="00AF5378">
        <w:rPr>
          <w:rFonts w:ascii="Palatino Linotype" w:hAnsi="Palatino Linotype"/>
          <w:sz w:val="24"/>
          <w:szCs w:val="24"/>
        </w:rPr>
        <w:t>The beneficiary has a co-occurring substance use disorder.</w:t>
      </w:r>
    </w:p>
    <w:p w14:paraId="4E4EB8B4" w14:textId="77777777" w:rsidR="00A40F1C" w:rsidRPr="00AF5378" w:rsidRDefault="00A40F1C" w:rsidP="006E3AC7">
      <w:pPr>
        <w:pStyle w:val="NoSpacing"/>
        <w:rPr>
          <w:rFonts w:ascii="Palatino Linotype" w:hAnsi="Palatino Linotype"/>
          <w:b/>
          <w:bCs/>
          <w:sz w:val="24"/>
          <w:szCs w:val="24"/>
          <w:u w:val="single"/>
        </w:rPr>
      </w:pPr>
    </w:p>
    <w:p w14:paraId="033991BF" w14:textId="77777777" w:rsidR="009D0467" w:rsidRPr="00AF5378" w:rsidRDefault="009D0467" w:rsidP="009D0467">
      <w:pPr>
        <w:pStyle w:val="NoSpacing"/>
        <w:rPr>
          <w:rFonts w:ascii="Palatino Linotype" w:hAnsi="Palatino Linotype"/>
          <w:sz w:val="24"/>
          <w:szCs w:val="24"/>
        </w:rPr>
      </w:pPr>
      <w:r w:rsidRPr="00AF5378">
        <w:rPr>
          <w:rFonts w:ascii="Palatino Linotype" w:hAnsi="Palatino Linotype"/>
          <w:sz w:val="24"/>
          <w:szCs w:val="24"/>
        </w:rPr>
        <w:t xml:space="preserve">Per Welfare and Institutions Code section 14184.402(f)(1)(A), a mental health diagnosis </w:t>
      </w:r>
    </w:p>
    <w:p w14:paraId="52990391" w14:textId="77777777" w:rsidR="009D0467" w:rsidRPr="00AF5378" w:rsidRDefault="009D0467" w:rsidP="009D0467">
      <w:pPr>
        <w:pStyle w:val="NoSpacing"/>
        <w:rPr>
          <w:rFonts w:ascii="Palatino Linotype" w:hAnsi="Palatino Linotype"/>
          <w:sz w:val="24"/>
          <w:szCs w:val="24"/>
        </w:rPr>
      </w:pPr>
      <w:r w:rsidRPr="00AF5378">
        <w:rPr>
          <w:rFonts w:ascii="Palatino Linotype" w:hAnsi="Palatino Linotype"/>
          <w:sz w:val="24"/>
          <w:szCs w:val="24"/>
        </w:rPr>
        <w:t>is not a prerequisite for access to covered SMHS. This does not eliminate the</w:t>
      </w:r>
    </w:p>
    <w:p w14:paraId="532AAE91" w14:textId="2A82135B" w:rsidR="009D0467" w:rsidRPr="00AF5378" w:rsidRDefault="009D0467" w:rsidP="009D0467">
      <w:pPr>
        <w:pStyle w:val="NoSpacing"/>
        <w:rPr>
          <w:rFonts w:ascii="Palatino Linotype" w:hAnsi="Palatino Linotype"/>
          <w:sz w:val="24"/>
          <w:szCs w:val="24"/>
        </w:rPr>
      </w:pPr>
      <w:r w:rsidRPr="00AF5378">
        <w:rPr>
          <w:rFonts w:ascii="Palatino Linotype" w:hAnsi="Palatino Linotype"/>
          <w:sz w:val="24"/>
          <w:szCs w:val="24"/>
        </w:rPr>
        <w:t>requirement that all Medi-Cal claims, including SMHS claims, include a CMS</w:t>
      </w:r>
      <w:r w:rsidR="00D040FC" w:rsidRPr="00AF5378">
        <w:rPr>
          <w:rFonts w:ascii="Palatino Linotype" w:hAnsi="Palatino Linotype"/>
          <w:sz w:val="24"/>
          <w:szCs w:val="24"/>
        </w:rPr>
        <w:t>-</w:t>
      </w:r>
      <w:r w:rsidRPr="00AF5378">
        <w:rPr>
          <w:rFonts w:ascii="Palatino Linotype" w:hAnsi="Palatino Linotype"/>
          <w:sz w:val="24"/>
          <w:szCs w:val="24"/>
        </w:rPr>
        <w:t>approved</w:t>
      </w:r>
    </w:p>
    <w:p w14:paraId="1D54177C" w14:textId="69BF6D78" w:rsidR="009D0467" w:rsidRPr="00AF5378" w:rsidRDefault="009D0467" w:rsidP="009D0467">
      <w:pPr>
        <w:pStyle w:val="NoSpacing"/>
        <w:rPr>
          <w:rFonts w:ascii="Palatino Linotype" w:hAnsi="Palatino Linotype"/>
          <w:sz w:val="24"/>
          <w:szCs w:val="24"/>
        </w:rPr>
      </w:pPr>
      <w:r w:rsidRPr="00AF5378">
        <w:rPr>
          <w:rFonts w:ascii="Palatino Linotype" w:hAnsi="Palatino Linotype"/>
          <w:sz w:val="24"/>
          <w:szCs w:val="24"/>
        </w:rPr>
        <w:t>ICD-10 diagnosis code.</w:t>
      </w:r>
      <w:r w:rsidR="00FE4B7E" w:rsidRPr="00AF5378">
        <w:rPr>
          <w:rStyle w:val="FootnoteReference"/>
          <w:rFonts w:ascii="Palatino Linotype" w:hAnsi="Palatino Linotype"/>
          <w:sz w:val="24"/>
          <w:szCs w:val="24"/>
        </w:rPr>
        <w:footnoteReference w:id="9"/>
      </w:r>
      <w:r w:rsidR="002072E4" w:rsidRPr="00AF5378">
        <w:rPr>
          <w:rFonts w:ascii="Palatino Linotype" w:hAnsi="Palatino Linotype"/>
          <w:sz w:val="24"/>
          <w:szCs w:val="24"/>
        </w:rPr>
        <w:t xml:space="preserve"> </w:t>
      </w:r>
      <w:r w:rsidRPr="00AF5378">
        <w:rPr>
          <w:rFonts w:ascii="Palatino Linotype" w:hAnsi="Palatino Linotype"/>
          <w:sz w:val="24"/>
          <w:szCs w:val="24"/>
        </w:rPr>
        <w:t>In cases where services are provided due to a suspected</w:t>
      </w:r>
    </w:p>
    <w:p w14:paraId="3E159F8D" w14:textId="77777777" w:rsidR="009D0467" w:rsidRPr="00AF5378" w:rsidRDefault="009D0467" w:rsidP="009D0467">
      <w:pPr>
        <w:pStyle w:val="NoSpacing"/>
        <w:rPr>
          <w:rFonts w:ascii="Palatino Linotype" w:hAnsi="Palatino Linotype"/>
          <w:sz w:val="24"/>
          <w:szCs w:val="24"/>
        </w:rPr>
      </w:pPr>
      <w:r w:rsidRPr="00AF5378">
        <w:rPr>
          <w:rFonts w:ascii="Palatino Linotype" w:hAnsi="Palatino Linotype"/>
          <w:sz w:val="24"/>
          <w:szCs w:val="24"/>
        </w:rPr>
        <w:t>mental health disorder that has not yet been diagnosed or due to trauma as noted</w:t>
      </w:r>
    </w:p>
    <w:p w14:paraId="5E96C434" w14:textId="23A89F79" w:rsidR="009D0467" w:rsidRPr="00AF5378" w:rsidRDefault="009D0467" w:rsidP="009D0467">
      <w:pPr>
        <w:pStyle w:val="NoSpacing"/>
        <w:rPr>
          <w:rFonts w:ascii="Palatino Linotype" w:hAnsi="Palatino Linotype"/>
          <w:sz w:val="24"/>
          <w:szCs w:val="24"/>
        </w:rPr>
      </w:pPr>
      <w:r w:rsidRPr="00AF5378">
        <w:rPr>
          <w:rFonts w:ascii="Palatino Linotype" w:hAnsi="Palatino Linotype"/>
          <w:sz w:val="24"/>
          <w:szCs w:val="24"/>
        </w:rPr>
        <w:t>above, options are available in the CMS</w:t>
      </w:r>
      <w:r w:rsidR="002052EB" w:rsidRPr="00AF5378">
        <w:rPr>
          <w:rFonts w:ascii="Palatino Linotype" w:hAnsi="Palatino Linotype"/>
          <w:sz w:val="24"/>
          <w:szCs w:val="24"/>
        </w:rPr>
        <w:t>-</w:t>
      </w:r>
      <w:r w:rsidRPr="00AF5378">
        <w:rPr>
          <w:rFonts w:ascii="Palatino Linotype" w:hAnsi="Palatino Linotype"/>
          <w:sz w:val="24"/>
          <w:szCs w:val="24"/>
        </w:rPr>
        <w:t xml:space="preserve">approved ICD-10 diagnosis code list. For </w:t>
      </w:r>
    </w:p>
    <w:p w14:paraId="58F1F2E1" w14:textId="77777777" w:rsidR="009D0467" w:rsidRPr="00AF5378" w:rsidRDefault="009D0467" w:rsidP="009D0467">
      <w:pPr>
        <w:pStyle w:val="NoSpacing"/>
        <w:rPr>
          <w:rFonts w:ascii="Palatino Linotype" w:hAnsi="Palatino Linotype"/>
          <w:sz w:val="24"/>
          <w:szCs w:val="24"/>
        </w:rPr>
      </w:pPr>
      <w:r w:rsidRPr="00AF5378">
        <w:rPr>
          <w:rFonts w:ascii="Palatino Linotype" w:hAnsi="Palatino Linotype"/>
          <w:sz w:val="24"/>
          <w:szCs w:val="24"/>
        </w:rPr>
        <w:t xml:space="preserve">example, these include codes for “Other specified” and “Unspecified” disorders,” or </w:t>
      </w:r>
    </w:p>
    <w:p w14:paraId="54FF8278" w14:textId="77777777" w:rsidR="009D0467" w:rsidRPr="00AF5378" w:rsidRDefault="009D0467" w:rsidP="009D0467">
      <w:pPr>
        <w:pStyle w:val="NoSpacing"/>
        <w:rPr>
          <w:rFonts w:ascii="Palatino Linotype" w:hAnsi="Palatino Linotype"/>
          <w:sz w:val="24"/>
          <w:szCs w:val="24"/>
        </w:rPr>
      </w:pPr>
      <w:r w:rsidRPr="00AF5378">
        <w:rPr>
          <w:rFonts w:ascii="Palatino Linotype" w:hAnsi="Palatino Linotype"/>
          <w:sz w:val="24"/>
          <w:szCs w:val="24"/>
        </w:rPr>
        <w:t>“Factors influencing health status and contact with health services” (i.e., Z codes).</w:t>
      </w:r>
    </w:p>
    <w:p w14:paraId="693D228A" w14:textId="77777777" w:rsidR="009D0467" w:rsidRPr="00AF5378" w:rsidRDefault="009D0467" w:rsidP="009D0467">
      <w:pPr>
        <w:pStyle w:val="NoSpacing"/>
        <w:rPr>
          <w:rFonts w:ascii="Palatino Linotype" w:hAnsi="Palatino Linotype"/>
          <w:sz w:val="24"/>
          <w:szCs w:val="24"/>
        </w:rPr>
      </w:pPr>
      <w:r w:rsidRPr="00AF5378">
        <w:rPr>
          <w:rFonts w:ascii="Palatino Linotype" w:hAnsi="Palatino Linotype"/>
          <w:sz w:val="24"/>
          <w:szCs w:val="24"/>
        </w:rPr>
        <w:t xml:space="preserve">DHCS may provide additional clarification and technical assistance regarding the use of </w:t>
      </w:r>
    </w:p>
    <w:p w14:paraId="6962E604" w14:textId="77777777" w:rsidR="009D0467" w:rsidRPr="00AF5378" w:rsidRDefault="009D0467" w:rsidP="009D0467">
      <w:pPr>
        <w:pStyle w:val="NoSpacing"/>
        <w:rPr>
          <w:rFonts w:ascii="Palatino Linotype" w:hAnsi="Palatino Linotype"/>
          <w:sz w:val="24"/>
          <w:szCs w:val="24"/>
        </w:rPr>
      </w:pPr>
      <w:r w:rsidRPr="00AF5378">
        <w:rPr>
          <w:rFonts w:ascii="Palatino Linotype" w:hAnsi="Palatino Linotype"/>
          <w:sz w:val="24"/>
          <w:szCs w:val="24"/>
        </w:rPr>
        <w:t>Z codes.</w:t>
      </w:r>
    </w:p>
    <w:p w14:paraId="4CD98E64" w14:textId="77777777" w:rsidR="002072E4" w:rsidRPr="00AF5378" w:rsidRDefault="002072E4" w:rsidP="009D0467">
      <w:pPr>
        <w:pStyle w:val="NoSpacing"/>
        <w:rPr>
          <w:rFonts w:ascii="Palatino Linotype" w:hAnsi="Palatino Linotype"/>
          <w:sz w:val="24"/>
          <w:szCs w:val="24"/>
        </w:rPr>
      </w:pPr>
    </w:p>
    <w:p w14:paraId="121F1826" w14:textId="63A1AF93" w:rsidR="009D0467" w:rsidRPr="00AF5378" w:rsidRDefault="009D0467" w:rsidP="009D0467">
      <w:pPr>
        <w:pStyle w:val="NoSpacing"/>
        <w:rPr>
          <w:rFonts w:ascii="Palatino Linotype" w:hAnsi="Palatino Linotype"/>
          <w:sz w:val="24"/>
          <w:szCs w:val="24"/>
        </w:rPr>
      </w:pPr>
      <w:r w:rsidRPr="00AF5378">
        <w:rPr>
          <w:rFonts w:ascii="Palatino Linotype" w:hAnsi="Palatino Linotype"/>
          <w:sz w:val="24"/>
          <w:szCs w:val="24"/>
        </w:rPr>
        <w:t xml:space="preserve">The portion of BHIN 20-043 that limits SMHS to a list of DHCS included ICD-10 </w:t>
      </w:r>
    </w:p>
    <w:p w14:paraId="6C8767E8" w14:textId="70AD8308" w:rsidR="009D0467" w:rsidRPr="00AF5378" w:rsidRDefault="009D0467" w:rsidP="009D0467">
      <w:pPr>
        <w:pStyle w:val="NoSpacing"/>
        <w:rPr>
          <w:rFonts w:ascii="Palatino Linotype" w:hAnsi="Palatino Linotype"/>
          <w:sz w:val="24"/>
          <w:szCs w:val="24"/>
        </w:rPr>
      </w:pPr>
      <w:r w:rsidRPr="00AF5378">
        <w:rPr>
          <w:rFonts w:ascii="Palatino Linotype" w:hAnsi="Palatino Linotype"/>
          <w:sz w:val="24"/>
          <w:szCs w:val="24"/>
        </w:rPr>
        <w:t>diagnoses is superseded by BHIN</w:t>
      </w:r>
      <w:r w:rsidR="00EF08A6" w:rsidRPr="00AF5378">
        <w:rPr>
          <w:rFonts w:ascii="Palatino Linotype" w:hAnsi="Palatino Linotype"/>
          <w:sz w:val="24"/>
          <w:szCs w:val="24"/>
        </w:rPr>
        <w:t xml:space="preserve"> 21-</w:t>
      </w:r>
      <w:r w:rsidR="00DD79D1" w:rsidRPr="00AF5378">
        <w:rPr>
          <w:rFonts w:ascii="Palatino Linotype" w:hAnsi="Palatino Linotype"/>
          <w:sz w:val="24"/>
          <w:szCs w:val="24"/>
        </w:rPr>
        <w:t>0</w:t>
      </w:r>
      <w:r w:rsidR="00EF08A6" w:rsidRPr="00AF5378">
        <w:rPr>
          <w:rFonts w:ascii="Palatino Linotype" w:hAnsi="Palatino Linotype"/>
          <w:sz w:val="24"/>
          <w:szCs w:val="24"/>
        </w:rPr>
        <w:t>73</w:t>
      </w:r>
      <w:r w:rsidRPr="00AF5378">
        <w:rPr>
          <w:rFonts w:ascii="Palatino Linotype" w:hAnsi="Palatino Linotype"/>
          <w:sz w:val="24"/>
          <w:szCs w:val="24"/>
        </w:rPr>
        <w:t>, effective January 1, 2022</w:t>
      </w:r>
      <w:r w:rsidR="00AF13E2" w:rsidRPr="00AF5378">
        <w:rPr>
          <w:rFonts w:ascii="Palatino Linotype" w:hAnsi="Palatino Linotype"/>
          <w:sz w:val="24"/>
          <w:szCs w:val="24"/>
        </w:rPr>
        <w:t xml:space="preserve"> (</w:t>
      </w:r>
      <w:r w:rsidRPr="00AF5378">
        <w:rPr>
          <w:rFonts w:ascii="Palatino Linotype" w:hAnsi="Palatino Linotype"/>
          <w:sz w:val="24"/>
          <w:szCs w:val="24"/>
        </w:rPr>
        <w:t>except for psychiatric inpatient hospital and psychiatric health facility services</w:t>
      </w:r>
      <w:r w:rsidR="00C11B7C" w:rsidRPr="00AF5378">
        <w:rPr>
          <w:rFonts w:ascii="Palatino Linotype" w:hAnsi="Palatino Linotype"/>
          <w:sz w:val="24"/>
          <w:szCs w:val="24"/>
        </w:rPr>
        <w:t>.)</w:t>
      </w:r>
    </w:p>
    <w:p w14:paraId="7DA2F364" w14:textId="77777777" w:rsidR="002072E4" w:rsidRPr="00AF5378" w:rsidRDefault="002072E4" w:rsidP="009D0467">
      <w:pPr>
        <w:pStyle w:val="NoSpacing"/>
        <w:rPr>
          <w:rFonts w:ascii="Palatino Linotype" w:hAnsi="Palatino Linotype"/>
          <w:sz w:val="24"/>
          <w:szCs w:val="24"/>
        </w:rPr>
      </w:pPr>
    </w:p>
    <w:p w14:paraId="08EDA6EF" w14:textId="3B1F8B16" w:rsidR="00982F22" w:rsidRPr="00AF5378" w:rsidRDefault="00982F22" w:rsidP="009D0467">
      <w:pPr>
        <w:pStyle w:val="NoSpacing"/>
        <w:rPr>
          <w:rFonts w:ascii="Palatino Linotype" w:hAnsi="Palatino Linotype"/>
          <w:b/>
          <w:bCs/>
          <w:sz w:val="24"/>
          <w:szCs w:val="24"/>
          <w:u w:val="single"/>
        </w:rPr>
      </w:pPr>
      <w:r w:rsidRPr="00AF5378">
        <w:rPr>
          <w:rFonts w:ascii="Palatino Linotype" w:hAnsi="Palatino Linotype"/>
          <w:b/>
          <w:bCs/>
          <w:sz w:val="24"/>
          <w:szCs w:val="24"/>
          <w:u w:val="single"/>
        </w:rPr>
        <w:t>Non-Specialty Mental Health Services</w:t>
      </w:r>
      <w:r w:rsidR="00E33240" w:rsidRPr="00AF5378">
        <w:rPr>
          <w:rFonts w:ascii="Palatino Linotype" w:hAnsi="Palatino Linotype"/>
          <w:b/>
          <w:bCs/>
          <w:sz w:val="24"/>
          <w:szCs w:val="24"/>
          <w:u w:val="single"/>
        </w:rPr>
        <w:t xml:space="preserve"> </w:t>
      </w:r>
      <w:r w:rsidR="009B5E13" w:rsidRPr="00AF5378">
        <w:rPr>
          <w:rFonts w:ascii="Palatino Linotype" w:hAnsi="Palatino Linotype"/>
          <w:b/>
          <w:bCs/>
          <w:sz w:val="24"/>
          <w:szCs w:val="24"/>
          <w:u w:val="single"/>
        </w:rPr>
        <w:t xml:space="preserve"> </w:t>
      </w:r>
    </w:p>
    <w:p w14:paraId="0E114D40" w14:textId="77777777" w:rsidR="00F13ACC" w:rsidRPr="00AF5378" w:rsidRDefault="00F13ACC" w:rsidP="009D0467">
      <w:pPr>
        <w:pStyle w:val="NoSpacing"/>
        <w:rPr>
          <w:rFonts w:ascii="Palatino Linotype" w:hAnsi="Palatino Linotype"/>
          <w:sz w:val="24"/>
          <w:szCs w:val="24"/>
        </w:rPr>
      </w:pPr>
    </w:p>
    <w:p w14:paraId="74307B2A" w14:textId="0F1FD407" w:rsidR="005C4BF3" w:rsidRPr="00AF5378" w:rsidRDefault="005C4BF3" w:rsidP="00815687">
      <w:pPr>
        <w:pStyle w:val="NoSpacing"/>
        <w:rPr>
          <w:rFonts w:ascii="Palatino Linotype" w:hAnsi="Palatino Linotype"/>
          <w:sz w:val="24"/>
          <w:szCs w:val="24"/>
        </w:rPr>
      </w:pPr>
      <w:r w:rsidRPr="00AF5378">
        <w:rPr>
          <w:rFonts w:ascii="Palatino Linotype" w:hAnsi="Palatino Linotype"/>
          <w:sz w:val="24"/>
          <w:szCs w:val="24"/>
        </w:rPr>
        <w:t>Non-</w:t>
      </w:r>
      <w:r w:rsidR="00C12A5C" w:rsidRPr="00AF5378">
        <w:rPr>
          <w:rFonts w:ascii="Palatino Linotype" w:hAnsi="Palatino Linotype"/>
          <w:sz w:val="24"/>
          <w:szCs w:val="24"/>
        </w:rPr>
        <w:t>S</w:t>
      </w:r>
      <w:r w:rsidRPr="00AF5378">
        <w:rPr>
          <w:rFonts w:ascii="Palatino Linotype" w:hAnsi="Palatino Linotype"/>
          <w:sz w:val="24"/>
          <w:szCs w:val="24"/>
        </w:rPr>
        <w:t xml:space="preserve">pecialty </w:t>
      </w:r>
      <w:r w:rsidR="00C12A5C" w:rsidRPr="00AF5378">
        <w:rPr>
          <w:rFonts w:ascii="Palatino Linotype" w:hAnsi="Palatino Linotype"/>
          <w:sz w:val="24"/>
          <w:szCs w:val="24"/>
        </w:rPr>
        <w:t>M</w:t>
      </w:r>
      <w:r w:rsidRPr="00AF5378">
        <w:rPr>
          <w:rFonts w:ascii="Palatino Linotype" w:hAnsi="Palatino Linotype"/>
          <w:sz w:val="24"/>
          <w:szCs w:val="24"/>
        </w:rPr>
        <w:t xml:space="preserve">ental </w:t>
      </w:r>
      <w:r w:rsidR="00C12A5C" w:rsidRPr="00AF5378">
        <w:rPr>
          <w:rFonts w:ascii="Palatino Linotype" w:hAnsi="Palatino Linotype"/>
          <w:sz w:val="24"/>
          <w:szCs w:val="24"/>
        </w:rPr>
        <w:t>H</w:t>
      </w:r>
      <w:r w:rsidRPr="00AF5378">
        <w:rPr>
          <w:rFonts w:ascii="Palatino Linotype" w:hAnsi="Palatino Linotype"/>
          <w:sz w:val="24"/>
          <w:szCs w:val="24"/>
        </w:rPr>
        <w:t xml:space="preserve">ealth </w:t>
      </w:r>
      <w:r w:rsidR="00C12A5C" w:rsidRPr="00AF5378">
        <w:rPr>
          <w:rFonts w:ascii="Palatino Linotype" w:hAnsi="Palatino Linotype"/>
          <w:sz w:val="24"/>
          <w:szCs w:val="24"/>
        </w:rPr>
        <w:t>S</w:t>
      </w:r>
      <w:r w:rsidRPr="00AF5378">
        <w:rPr>
          <w:rFonts w:ascii="Palatino Linotype" w:hAnsi="Palatino Linotype"/>
          <w:sz w:val="24"/>
          <w:szCs w:val="24"/>
        </w:rPr>
        <w:t xml:space="preserve">ervices (NSMHS) are delivered by </w:t>
      </w:r>
      <w:r w:rsidR="007D59D4" w:rsidRPr="00AF5378">
        <w:rPr>
          <w:rFonts w:ascii="Palatino Linotype" w:hAnsi="Palatino Linotype"/>
          <w:sz w:val="24"/>
          <w:szCs w:val="24"/>
        </w:rPr>
        <w:t xml:space="preserve">Medi-Cal </w:t>
      </w:r>
      <w:r w:rsidR="00C12A5C" w:rsidRPr="00AF5378">
        <w:rPr>
          <w:rFonts w:ascii="Palatino Linotype" w:hAnsi="Palatino Linotype"/>
          <w:sz w:val="24"/>
          <w:szCs w:val="24"/>
        </w:rPr>
        <w:t>Managed Care Plans (</w:t>
      </w:r>
      <w:r w:rsidRPr="00AF5378">
        <w:rPr>
          <w:rFonts w:ascii="Palatino Linotype" w:hAnsi="Palatino Linotype"/>
          <w:sz w:val="24"/>
          <w:szCs w:val="24"/>
        </w:rPr>
        <w:t>MCP</w:t>
      </w:r>
      <w:r w:rsidR="00723723" w:rsidRPr="00AF5378">
        <w:rPr>
          <w:rFonts w:ascii="Palatino Linotype" w:hAnsi="Palatino Linotype"/>
          <w:sz w:val="24"/>
          <w:szCs w:val="24"/>
        </w:rPr>
        <w:t>)</w:t>
      </w:r>
      <w:r w:rsidRPr="00AF5378">
        <w:rPr>
          <w:rFonts w:ascii="Palatino Linotype" w:hAnsi="Palatino Linotype"/>
          <w:sz w:val="24"/>
          <w:szCs w:val="24"/>
        </w:rPr>
        <w:t xml:space="preserve"> and </w:t>
      </w:r>
      <w:r w:rsidR="00815687" w:rsidRPr="00AF5378">
        <w:rPr>
          <w:rFonts w:ascii="Palatino Linotype" w:hAnsi="Palatino Linotype"/>
          <w:sz w:val="24"/>
          <w:szCs w:val="24"/>
        </w:rPr>
        <w:t xml:space="preserve">Medi-Cal </w:t>
      </w:r>
      <w:r w:rsidR="003C6A3A" w:rsidRPr="00AF5378">
        <w:rPr>
          <w:rFonts w:ascii="Palatino Linotype" w:hAnsi="Palatino Linotype"/>
          <w:sz w:val="24"/>
          <w:szCs w:val="24"/>
        </w:rPr>
        <w:t>Fee</w:t>
      </w:r>
      <w:r w:rsidR="00EA5D7D">
        <w:rPr>
          <w:rFonts w:ascii="Palatino Linotype" w:hAnsi="Palatino Linotype"/>
          <w:sz w:val="24"/>
          <w:szCs w:val="24"/>
        </w:rPr>
        <w:t>-</w:t>
      </w:r>
      <w:r w:rsidR="00DE2C1F">
        <w:rPr>
          <w:rFonts w:ascii="Palatino Linotype" w:hAnsi="Palatino Linotype"/>
          <w:sz w:val="24"/>
          <w:szCs w:val="24"/>
        </w:rPr>
        <w:t>f</w:t>
      </w:r>
      <w:r w:rsidR="003C6A3A" w:rsidRPr="00AF5378">
        <w:rPr>
          <w:rFonts w:ascii="Palatino Linotype" w:hAnsi="Palatino Linotype"/>
          <w:sz w:val="24"/>
          <w:szCs w:val="24"/>
        </w:rPr>
        <w:t>or</w:t>
      </w:r>
      <w:r w:rsidR="00EA5D7D">
        <w:rPr>
          <w:rFonts w:ascii="Palatino Linotype" w:hAnsi="Palatino Linotype"/>
          <w:sz w:val="24"/>
          <w:szCs w:val="24"/>
        </w:rPr>
        <w:t>-</w:t>
      </w:r>
      <w:r w:rsidR="003C6A3A" w:rsidRPr="00AF5378">
        <w:rPr>
          <w:rFonts w:ascii="Palatino Linotype" w:hAnsi="Palatino Linotype"/>
          <w:sz w:val="24"/>
          <w:szCs w:val="24"/>
        </w:rPr>
        <w:t>Service (</w:t>
      </w:r>
      <w:r w:rsidR="00815687" w:rsidRPr="00AF5378">
        <w:rPr>
          <w:rFonts w:ascii="Palatino Linotype" w:hAnsi="Palatino Linotype"/>
          <w:sz w:val="24"/>
          <w:szCs w:val="24"/>
        </w:rPr>
        <w:t>FFS</w:t>
      </w:r>
      <w:r w:rsidR="00C12A5C" w:rsidRPr="00AF5378">
        <w:rPr>
          <w:rFonts w:ascii="Palatino Linotype" w:hAnsi="Palatino Linotype"/>
          <w:sz w:val="24"/>
          <w:szCs w:val="24"/>
        </w:rPr>
        <w:t>)</w:t>
      </w:r>
      <w:r w:rsidR="00815687" w:rsidRPr="00AF5378">
        <w:rPr>
          <w:rFonts w:ascii="Palatino Linotype" w:hAnsi="Palatino Linotype"/>
          <w:sz w:val="24"/>
          <w:szCs w:val="24"/>
        </w:rPr>
        <w:t xml:space="preserve"> providers and </w:t>
      </w:r>
      <w:r w:rsidRPr="00AF5378">
        <w:rPr>
          <w:rFonts w:ascii="Palatino Linotype" w:hAnsi="Palatino Linotype"/>
          <w:sz w:val="24"/>
          <w:szCs w:val="24"/>
        </w:rPr>
        <w:t>include the following:</w:t>
      </w:r>
      <w:r w:rsidR="006D343B" w:rsidRPr="00AF5378">
        <w:rPr>
          <w:rStyle w:val="FootnoteReference"/>
          <w:rFonts w:ascii="Palatino Linotype" w:hAnsi="Palatino Linotype"/>
          <w:sz w:val="24"/>
          <w:szCs w:val="24"/>
        </w:rPr>
        <w:footnoteReference w:id="10"/>
      </w:r>
    </w:p>
    <w:p w14:paraId="2AF6C027" w14:textId="77777777" w:rsidR="005C4BF3" w:rsidRPr="00AF5378" w:rsidRDefault="005C4BF3" w:rsidP="005C4BF3">
      <w:pPr>
        <w:pStyle w:val="NoSpacing"/>
        <w:rPr>
          <w:rFonts w:ascii="Palatino Linotype" w:hAnsi="Palatino Linotype"/>
          <w:sz w:val="24"/>
          <w:szCs w:val="24"/>
        </w:rPr>
      </w:pPr>
    </w:p>
    <w:p w14:paraId="02F1E2DD" w14:textId="360B59B4" w:rsidR="005C4BF3" w:rsidRPr="00AF5378" w:rsidRDefault="005C4BF3" w:rsidP="005C4BF3">
      <w:pPr>
        <w:pStyle w:val="NoSpacing"/>
        <w:numPr>
          <w:ilvl w:val="0"/>
          <w:numId w:val="10"/>
        </w:numPr>
        <w:rPr>
          <w:rFonts w:ascii="Palatino Linotype" w:hAnsi="Palatino Linotype"/>
          <w:sz w:val="24"/>
          <w:szCs w:val="24"/>
        </w:rPr>
      </w:pPr>
      <w:r w:rsidRPr="00AF5378">
        <w:rPr>
          <w:rFonts w:ascii="Palatino Linotype" w:hAnsi="Palatino Linotype"/>
          <w:sz w:val="24"/>
          <w:szCs w:val="24"/>
        </w:rPr>
        <w:t>Mental health evaluation and treatment, including individual, group and family</w:t>
      </w:r>
    </w:p>
    <w:p w14:paraId="1498DB48" w14:textId="5E4AFB35" w:rsidR="005C4BF3" w:rsidRPr="00AF5378" w:rsidRDefault="005C4BF3" w:rsidP="005C4BF3">
      <w:pPr>
        <w:pStyle w:val="NoSpacing"/>
        <w:ind w:left="720"/>
        <w:rPr>
          <w:rFonts w:ascii="Palatino Linotype" w:hAnsi="Palatino Linotype"/>
          <w:sz w:val="24"/>
          <w:szCs w:val="24"/>
        </w:rPr>
      </w:pPr>
      <w:r w:rsidRPr="00AF5378">
        <w:rPr>
          <w:rFonts w:ascii="Palatino Linotype" w:hAnsi="Palatino Linotype"/>
          <w:sz w:val="24"/>
          <w:szCs w:val="24"/>
        </w:rPr>
        <w:t>Psychotherapy</w:t>
      </w:r>
      <w:r w:rsidR="00C33B55" w:rsidRPr="00AF5378">
        <w:rPr>
          <w:rStyle w:val="FootnoteReference"/>
          <w:rFonts w:ascii="Palatino Linotype" w:hAnsi="Palatino Linotype"/>
          <w:sz w:val="24"/>
          <w:szCs w:val="24"/>
        </w:rPr>
        <w:footnoteReference w:id="11"/>
      </w:r>
    </w:p>
    <w:p w14:paraId="58EEB709" w14:textId="17329FFB" w:rsidR="005C4BF3" w:rsidRPr="00AF5378" w:rsidRDefault="005C4BF3" w:rsidP="005C4BF3">
      <w:pPr>
        <w:pStyle w:val="NoSpacing"/>
        <w:numPr>
          <w:ilvl w:val="0"/>
          <w:numId w:val="10"/>
        </w:numPr>
        <w:rPr>
          <w:rFonts w:ascii="Palatino Linotype" w:hAnsi="Palatino Linotype"/>
          <w:sz w:val="24"/>
          <w:szCs w:val="24"/>
        </w:rPr>
      </w:pPr>
      <w:r w:rsidRPr="00AF5378">
        <w:rPr>
          <w:rFonts w:ascii="Palatino Linotype" w:hAnsi="Palatino Linotype"/>
          <w:sz w:val="24"/>
          <w:szCs w:val="24"/>
        </w:rPr>
        <w:t>Psychological and neuropsychological testing, when clinically indicated to</w:t>
      </w:r>
    </w:p>
    <w:p w14:paraId="58F0BA19" w14:textId="77777777" w:rsidR="005C4BF3" w:rsidRPr="00AF5378" w:rsidRDefault="005C4BF3" w:rsidP="005C4BF3">
      <w:pPr>
        <w:pStyle w:val="NoSpacing"/>
        <w:ind w:left="720"/>
        <w:rPr>
          <w:rFonts w:ascii="Palatino Linotype" w:hAnsi="Palatino Linotype"/>
          <w:sz w:val="24"/>
          <w:szCs w:val="24"/>
        </w:rPr>
      </w:pPr>
      <w:r w:rsidRPr="00AF5378">
        <w:rPr>
          <w:rFonts w:ascii="Palatino Linotype" w:hAnsi="Palatino Linotype"/>
          <w:sz w:val="24"/>
          <w:szCs w:val="24"/>
        </w:rPr>
        <w:t>evaluate a mental health condition.</w:t>
      </w:r>
    </w:p>
    <w:p w14:paraId="26202527" w14:textId="1B90E8CF" w:rsidR="005C4BF3" w:rsidRPr="00AF5378" w:rsidRDefault="005C4BF3" w:rsidP="005C4BF3">
      <w:pPr>
        <w:pStyle w:val="NoSpacing"/>
        <w:numPr>
          <w:ilvl w:val="0"/>
          <w:numId w:val="10"/>
        </w:numPr>
        <w:rPr>
          <w:rFonts w:ascii="Palatino Linotype" w:hAnsi="Palatino Linotype"/>
          <w:sz w:val="24"/>
          <w:szCs w:val="24"/>
        </w:rPr>
      </w:pPr>
      <w:r w:rsidRPr="00AF5378">
        <w:rPr>
          <w:rFonts w:ascii="Palatino Linotype" w:hAnsi="Palatino Linotype"/>
          <w:sz w:val="24"/>
          <w:szCs w:val="24"/>
        </w:rPr>
        <w:t>Outpatient services for purposes of monitoring drug therapy</w:t>
      </w:r>
    </w:p>
    <w:p w14:paraId="46410205" w14:textId="7C25CC7A" w:rsidR="005C4BF3" w:rsidRPr="00AF5378" w:rsidRDefault="005C4BF3" w:rsidP="005C4BF3">
      <w:pPr>
        <w:pStyle w:val="NoSpacing"/>
        <w:numPr>
          <w:ilvl w:val="0"/>
          <w:numId w:val="10"/>
        </w:numPr>
        <w:rPr>
          <w:rFonts w:ascii="Palatino Linotype" w:hAnsi="Palatino Linotype"/>
          <w:sz w:val="24"/>
          <w:szCs w:val="24"/>
        </w:rPr>
      </w:pPr>
      <w:r w:rsidRPr="00AF5378">
        <w:rPr>
          <w:rFonts w:ascii="Palatino Linotype" w:hAnsi="Palatino Linotype"/>
          <w:sz w:val="24"/>
          <w:szCs w:val="24"/>
        </w:rPr>
        <w:t>Psychiatric consultation</w:t>
      </w:r>
    </w:p>
    <w:p w14:paraId="06753F31" w14:textId="007A4400" w:rsidR="00F13ACC" w:rsidRPr="00AF5378" w:rsidRDefault="005C4BF3" w:rsidP="005C4BF3">
      <w:pPr>
        <w:pStyle w:val="NoSpacing"/>
        <w:numPr>
          <w:ilvl w:val="0"/>
          <w:numId w:val="10"/>
        </w:numPr>
        <w:rPr>
          <w:rFonts w:ascii="Palatino Linotype" w:hAnsi="Palatino Linotype"/>
          <w:sz w:val="24"/>
          <w:szCs w:val="24"/>
        </w:rPr>
      </w:pPr>
      <w:r w:rsidRPr="00AF5378">
        <w:rPr>
          <w:rFonts w:ascii="Palatino Linotype" w:hAnsi="Palatino Linotype"/>
          <w:sz w:val="24"/>
          <w:szCs w:val="24"/>
        </w:rPr>
        <w:t>Outpatient laboratory, drugs, supplies and supplement</w:t>
      </w:r>
    </w:p>
    <w:p w14:paraId="0A52EE5D" w14:textId="0440EF66" w:rsidR="00500CB7" w:rsidRPr="00AF5378" w:rsidRDefault="00FB1762" w:rsidP="00500CB7">
      <w:pPr>
        <w:pStyle w:val="NoSpacing"/>
        <w:rPr>
          <w:rFonts w:ascii="Palatino Linotype" w:hAnsi="Palatino Linotype"/>
          <w:sz w:val="24"/>
          <w:szCs w:val="24"/>
        </w:rPr>
      </w:pPr>
      <w:r w:rsidRPr="00AF5378">
        <w:rPr>
          <w:rFonts w:ascii="Palatino Linotype" w:hAnsi="Palatino Linotype"/>
          <w:sz w:val="24"/>
          <w:szCs w:val="24"/>
        </w:rPr>
        <w:br/>
      </w:r>
      <w:r w:rsidR="001B7A21" w:rsidRPr="00AF5378">
        <w:rPr>
          <w:rFonts w:ascii="Palatino Linotype" w:hAnsi="Palatino Linotype"/>
          <w:sz w:val="24"/>
          <w:szCs w:val="24"/>
        </w:rPr>
        <w:t xml:space="preserve">MHPs also provide these types of services; however, </w:t>
      </w:r>
      <w:r w:rsidR="00EF53DE" w:rsidRPr="00AF5378">
        <w:rPr>
          <w:rFonts w:ascii="Palatino Linotype" w:hAnsi="Palatino Linotype"/>
          <w:sz w:val="24"/>
          <w:szCs w:val="24"/>
        </w:rPr>
        <w:t xml:space="preserve">the </w:t>
      </w:r>
      <w:r w:rsidR="00575EEA" w:rsidRPr="00AF5378">
        <w:rPr>
          <w:rFonts w:ascii="Palatino Linotype" w:hAnsi="Palatino Linotype"/>
          <w:sz w:val="24"/>
          <w:szCs w:val="24"/>
        </w:rPr>
        <w:t xml:space="preserve">level of impairment </w:t>
      </w:r>
      <w:r w:rsidR="00EB4B2F" w:rsidRPr="00AF5378">
        <w:rPr>
          <w:rFonts w:ascii="Palatino Linotype" w:hAnsi="Palatino Linotype"/>
          <w:sz w:val="24"/>
          <w:szCs w:val="24"/>
        </w:rPr>
        <w:t xml:space="preserve">is typically </w:t>
      </w:r>
      <w:r w:rsidR="00F35D5B" w:rsidRPr="00AF5378">
        <w:rPr>
          <w:rFonts w:ascii="Palatino Linotype" w:hAnsi="Palatino Linotype"/>
          <w:sz w:val="24"/>
          <w:szCs w:val="24"/>
        </w:rPr>
        <w:lastRenderedPageBreak/>
        <w:t xml:space="preserve">identified </w:t>
      </w:r>
      <w:r w:rsidR="001F64D6" w:rsidRPr="00AF5378">
        <w:rPr>
          <w:rFonts w:ascii="Palatino Linotype" w:hAnsi="Palatino Linotype"/>
          <w:sz w:val="24"/>
          <w:szCs w:val="24"/>
        </w:rPr>
        <w:t xml:space="preserve">as “moderate to severe” versus </w:t>
      </w:r>
      <w:r w:rsidR="006F4E6E" w:rsidRPr="00AF5378">
        <w:rPr>
          <w:rFonts w:ascii="Palatino Linotype" w:hAnsi="Palatino Linotype"/>
          <w:sz w:val="24"/>
          <w:szCs w:val="24"/>
        </w:rPr>
        <w:t xml:space="preserve">the “mild to moderate” </w:t>
      </w:r>
      <w:r w:rsidR="00551427" w:rsidRPr="00AF5378">
        <w:rPr>
          <w:rFonts w:ascii="Palatino Linotype" w:hAnsi="Palatino Linotype"/>
          <w:sz w:val="24"/>
          <w:szCs w:val="24"/>
        </w:rPr>
        <w:t xml:space="preserve">level of impairment that </w:t>
      </w:r>
      <w:r w:rsidR="00790CCD" w:rsidRPr="00AF5378">
        <w:rPr>
          <w:rFonts w:ascii="Palatino Linotype" w:hAnsi="Palatino Linotype"/>
          <w:sz w:val="24"/>
          <w:szCs w:val="24"/>
        </w:rPr>
        <w:t>supports the provision of NSMHS.</w:t>
      </w:r>
    </w:p>
    <w:p w14:paraId="370DB42F" w14:textId="77777777" w:rsidR="001436F5" w:rsidRPr="00AF5378" w:rsidRDefault="001436F5" w:rsidP="001436F5">
      <w:pPr>
        <w:pStyle w:val="NoSpacing"/>
        <w:rPr>
          <w:rFonts w:ascii="Palatino Linotype" w:hAnsi="Palatino Linotype"/>
          <w:sz w:val="24"/>
          <w:szCs w:val="24"/>
        </w:rPr>
      </w:pPr>
    </w:p>
    <w:p w14:paraId="2FAAC1F2" w14:textId="76866090" w:rsidR="001436F5" w:rsidRPr="00AF5378" w:rsidRDefault="001436F5" w:rsidP="001436F5">
      <w:pPr>
        <w:pStyle w:val="NoSpacing"/>
        <w:rPr>
          <w:rFonts w:ascii="Palatino Linotype" w:hAnsi="Palatino Linotype"/>
          <w:sz w:val="24"/>
          <w:szCs w:val="24"/>
        </w:rPr>
      </w:pPr>
      <w:r w:rsidRPr="00AF5378">
        <w:rPr>
          <w:rFonts w:ascii="Palatino Linotype" w:hAnsi="Palatino Linotype"/>
          <w:sz w:val="24"/>
          <w:szCs w:val="24"/>
        </w:rPr>
        <w:t xml:space="preserve">BHIN 21-073 does not change the respective responsibilities of MHPs, Medi-Cal MCPs and the Medi-Cal FFS delivery systems. Services for symptoms or conditions solely due to a medical condition (e.g., traumatic brain injury) remain the responsibility of the MCP or the FFS delivery system. However, SMHS are reimbursable for beneficiaries with medical diagnoses if they also have mental health conditions and meet criteria for SMHS as described above. Coordination of care between the MHP and the MCP may be necessary to address beneficiaries’ needs. </w:t>
      </w:r>
    </w:p>
    <w:p w14:paraId="5304CD05" w14:textId="77777777" w:rsidR="002A3DEA" w:rsidRPr="00AF5378" w:rsidRDefault="002A3DEA" w:rsidP="009D0467">
      <w:pPr>
        <w:pStyle w:val="NoSpacing"/>
        <w:rPr>
          <w:rFonts w:ascii="Palatino Linotype" w:hAnsi="Palatino Linotype"/>
          <w:sz w:val="24"/>
          <w:szCs w:val="24"/>
        </w:rPr>
      </w:pPr>
    </w:p>
    <w:p w14:paraId="383F546E" w14:textId="77777777" w:rsidR="0053752C" w:rsidRPr="00AF5378" w:rsidRDefault="0053752C" w:rsidP="0053752C">
      <w:pPr>
        <w:pStyle w:val="NoSpacing"/>
        <w:rPr>
          <w:rFonts w:ascii="Palatino Linotype" w:hAnsi="Palatino Linotype"/>
          <w:b/>
          <w:bCs/>
          <w:sz w:val="24"/>
          <w:szCs w:val="24"/>
          <w:u w:val="single"/>
        </w:rPr>
      </w:pPr>
      <w:r w:rsidRPr="00AF5378">
        <w:rPr>
          <w:rFonts w:ascii="Palatino Linotype" w:hAnsi="Palatino Linotype"/>
          <w:b/>
          <w:bCs/>
          <w:sz w:val="24"/>
          <w:szCs w:val="24"/>
          <w:u w:val="single"/>
        </w:rPr>
        <w:t>Criteria for Beneficiaries to Access Non-Specialty Mental Health Services</w:t>
      </w:r>
    </w:p>
    <w:p w14:paraId="1267AECC" w14:textId="77777777" w:rsidR="0053752C" w:rsidRPr="00AF5378" w:rsidRDefault="0053752C" w:rsidP="0053752C">
      <w:pPr>
        <w:pStyle w:val="NoSpacing"/>
        <w:rPr>
          <w:rFonts w:ascii="Palatino Linotype" w:hAnsi="Palatino Linotype"/>
          <w:sz w:val="24"/>
          <w:szCs w:val="24"/>
        </w:rPr>
      </w:pPr>
    </w:p>
    <w:p w14:paraId="7096C8A4" w14:textId="0752E6AA" w:rsidR="0053752C" w:rsidRPr="00AF5378" w:rsidRDefault="0053752C" w:rsidP="0053752C">
      <w:pPr>
        <w:pStyle w:val="NoSpacing"/>
        <w:rPr>
          <w:rFonts w:ascii="Palatino Linotype" w:hAnsi="Palatino Linotype"/>
          <w:sz w:val="24"/>
          <w:szCs w:val="24"/>
        </w:rPr>
      </w:pPr>
      <w:r w:rsidRPr="00AF5378">
        <w:rPr>
          <w:rFonts w:ascii="Palatino Linotype" w:hAnsi="Palatino Linotype"/>
          <w:sz w:val="24"/>
          <w:szCs w:val="24"/>
        </w:rPr>
        <w:t>MCPs are required to provide or arrange for the provision of NSMHS for the following</w:t>
      </w:r>
    </w:p>
    <w:p w14:paraId="77082EF1" w14:textId="2F8E8F9A" w:rsidR="0053752C" w:rsidRPr="00AF5378" w:rsidRDefault="0053752C" w:rsidP="0053752C">
      <w:pPr>
        <w:pStyle w:val="NoSpacing"/>
        <w:rPr>
          <w:rFonts w:ascii="Palatino Linotype" w:hAnsi="Palatino Linotype"/>
          <w:sz w:val="24"/>
          <w:szCs w:val="24"/>
        </w:rPr>
      </w:pPr>
      <w:r w:rsidRPr="00AF5378">
        <w:rPr>
          <w:rFonts w:ascii="Palatino Linotype" w:hAnsi="Palatino Linotype"/>
          <w:sz w:val="24"/>
          <w:szCs w:val="24"/>
        </w:rPr>
        <w:t>populations:</w:t>
      </w:r>
      <w:r w:rsidR="000A7895" w:rsidRPr="00AF5378">
        <w:rPr>
          <w:rStyle w:val="FootnoteReference"/>
          <w:rFonts w:ascii="Palatino Linotype" w:hAnsi="Palatino Linotype"/>
          <w:sz w:val="24"/>
          <w:szCs w:val="24"/>
        </w:rPr>
        <w:footnoteReference w:id="12"/>
      </w:r>
    </w:p>
    <w:p w14:paraId="7B2CF8D4" w14:textId="77777777" w:rsidR="0053752C" w:rsidRPr="00AF5378" w:rsidRDefault="0053752C" w:rsidP="0053752C">
      <w:pPr>
        <w:pStyle w:val="NoSpacing"/>
        <w:rPr>
          <w:rFonts w:ascii="Palatino Linotype" w:hAnsi="Palatino Linotype"/>
          <w:sz w:val="24"/>
          <w:szCs w:val="24"/>
        </w:rPr>
      </w:pPr>
    </w:p>
    <w:p w14:paraId="0FFDC60B" w14:textId="13628D3A" w:rsidR="0053752C" w:rsidRPr="00AF5378" w:rsidRDefault="0053752C" w:rsidP="006D343B">
      <w:pPr>
        <w:pStyle w:val="NoSpacing"/>
        <w:numPr>
          <w:ilvl w:val="0"/>
          <w:numId w:val="11"/>
        </w:numPr>
        <w:rPr>
          <w:rFonts w:ascii="Palatino Linotype" w:hAnsi="Palatino Linotype"/>
          <w:sz w:val="24"/>
          <w:szCs w:val="24"/>
        </w:rPr>
      </w:pPr>
      <w:r w:rsidRPr="00AF5378">
        <w:rPr>
          <w:rFonts w:ascii="Palatino Linotype" w:hAnsi="Palatino Linotype"/>
          <w:sz w:val="24"/>
          <w:szCs w:val="24"/>
        </w:rPr>
        <w:t>Beneficiaries 21 years of age and over with mild to moderate distress or mild to</w:t>
      </w:r>
    </w:p>
    <w:p w14:paraId="15A35C74" w14:textId="77777777" w:rsidR="0053752C" w:rsidRPr="00AF5378" w:rsidRDefault="0053752C" w:rsidP="006D343B">
      <w:pPr>
        <w:pStyle w:val="NoSpacing"/>
        <w:ind w:left="720"/>
        <w:rPr>
          <w:rFonts w:ascii="Palatino Linotype" w:hAnsi="Palatino Linotype"/>
          <w:sz w:val="24"/>
          <w:szCs w:val="24"/>
        </w:rPr>
      </w:pPr>
      <w:r w:rsidRPr="00AF5378">
        <w:rPr>
          <w:rFonts w:ascii="Palatino Linotype" w:hAnsi="Palatino Linotype"/>
          <w:sz w:val="24"/>
          <w:szCs w:val="24"/>
        </w:rPr>
        <w:t>moderate impairment of mental, emotional, or behavioral functioning resulting</w:t>
      </w:r>
    </w:p>
    <w:p w14:paraId="371E9A6B" w14:textId="77777777" w:rsidR="0053752C" w:rsidRPr="00AF5378" w:rsidRDefault="0053752C" w:rsidP="006D343B">
      <w:pPr>
        <w:pStyle w:val="NoSpacing"/>
        <w:ind w:left="720"/>
        <w:rPr>
          <w:rFonts w:ascii="Palatino Linotype" w:hAnsi="Palatino Linotype"/>
          <w:sz w:val="24"/>
          <w:szCs w:val="24"/>
        </w:rPr>
      </w:pPr>
      <w:r w:rsidRPr="00AF5378">
        <w:rPr>
          <w:rFonts w:ascii="Palatino Linotype" w:hAnsi="Palatino Linotype"/>
          <w:sz w:val="24"/>
          <w:szCs w:val="24"/>
        </w:rPr>
        <w:t xml:space="preserve">from mental health disorders, as defined by the current Diagnostic and Statistical </w:t>
      </w:r>
    </w:p>
    <w:p w14:paraId="3C8DA76E" w14:textId="42E1881B" w:rsidR="0053752C" w:rsidRPr="00AF5378" w:rsidRDefault="0053752C" w:rsidP="006D343B">
      <w:pPr>
        <w:pStyle w:val="NoSpacing"/>
        <w:ind w:left="720"/>
        <w:rPr>
          <w:rFonts w:ascii="Palatino Linotype" w:hAnsi="Palatino Linotype"/>
          <w:sz w:val="24"/>
          <w:szCs w:val="24"/>
        </w:rPr>
      </w:pPr>
      <w:r w:rsidRPr="00AF5378">
        <w:rPr>
          <w:rFonts w:ascii="Palatino Linotype" w:hAnsi="Palatino Linotype"/>
          <w:sz w:val="24"/>
          <w:szCs w:val="24"/>
        </w:rPr>
        <w:t>Manual of Mental Disorders;</w:t>
      </w:r>
      <w:r w:rsidR="003976F7" w:rsidRPr="00AF5378">
        <w:rPr>
          <w:rStyle w:val="FootnoteReference"/>
          <w:rFonts w:ascii="Palatino Linotype" w:hAnsi="Palatino Linotype"/>
          <w:sz w:val="24"/>
          <w:szCs w:val="24"/>
        </w:rPr>
        <w:footnoteReference w:id="13"/>
      </w:r>
    </w:p>
    <w:p w14:paraId="3FEEE6CD" w14:textId="4E43FDFE" w:rsidR="0053752C" w:rsidRPr="00AF5378" w:rsidRDefault="0053752C" w:rsidP="006D343B">
      <w:pPr>
        <w:pStyle w:val="NoSpacing"/>
        <w:numPr>
          <w:ilvl w:val="0"/>
          <w:numId w:val="11"/>
        </w:numPr>
        <w:rPr>
          <w:rFonts w:ascii="Palatino Linotype" w:hAnsi="Palatino Linotype"/>
          <w:sz w:val="24"/>
          <w:szCs w:val="24"/>
        </w:rPr>
      </w:pPr>
      <w:r w:rsidRPr="00AF5378">
        <w:rPr>
          <w:rFonts w:ascii="Palatino Linotype" w:hAnsi="Palatino Linotype"/>
          <w:sz w:val="24"/>
          <w:szCs w:val="24"/>
        </w:rPr>
        <w:t>Beneficiaries under age 21, to the extent eligible for services through the</w:t>
      </w:r>
    </w:p>
    <w:p w14:paraId="4B1929D4" w14:textId="77777777" w:rsidR="0053752C" w:rsidRPr="00AF5378" w:rsidRDefault="0053752C" w:rsidP="006D343B">
      <w:pPr>
        <w:pStyle w:val="NoSpacing"/>
        <w:ind w:left="720"/>
        <w:rPr>
          <w:rFonts w:ascii="Palatino Linotype" w:hAnsi="Palatino Linotype"/>
          <w:sz w:val="24"/>
          <w:szCs w:val="24"/>
        </w:rPr>
      </w:pPr>
      <w:r w:rsidRPr="00AF5378">
        <w:rPr>
          <w:rFonts w:ascii="Palatino Linotype" w:hAnsi="Palatino Linotype"/>
          <w:sz w:val="24"/>
          <w:szCs w:val="24"/>
        </w:rPr>
        <w:t xml:space="preserve">Medicaid EPSDT benefit as described above, regardless of level of distress or </w:t>
      </w:r>
    </w:p>
    <w:p w14:paraId="78BEFF63" w14:textId="77777777" w:rsidR="006D343B" w:rsidRPr="00AF5378" w:rsidRDefault="0053752C" w:rsidP="006D343B">
      <w:pPr>
        <w:pStyle w:val="NoSpacing"/>
        <w:ind w:left="720"/>
        <w:rPr>
          <w:rFonts w:ascii="Palatino Linotype" w:hAnsi="Palatino Linotype"/>
          <w:sz w:val="24"/>
          <w:szCs w:val="24"/>
        </w:rPr>
      </w:pPr>
      <w:r w:rsidRPr="00AF5378">
        <w:rPr>
          <w:rFonts w:ascii="Palatino Linotype" w:hAnsi="Palatino Linotype"/>
          <w:sz w:val="24"/>
          <w:szCs w:val="24"/>
        </w:rPr>
        <w:t xml:space="preserve">impairment or the presence of a diagnosis; </w:t>
      </w:r>
    </w:p>
    <w:p w14:paraId="3D7AFC19" w14:textId="79F2F572" w:rsidR="0053752C" w:rsidRPr="00AF5378" w:rsidRDefault="0053752C" w:rsidP="006D343B">
      <w:pPr>
        <w:pStyle w:val="NoSpacing"/>
        <w:numPr>
          <w:ilvl w:val="0"/>
          <w:numId w:val="11"/>
        </w:numPr>
        <w:rPr>
          <w:rFonts w:ascii="Palatino Linotype" w:hAnsi="Palatino Linotype"/>
          <w:sz w:val="24"/>
          <w:szCs w:val="24"/>
        </w:rPr>
      </w:pPr>
      <w:r w:rsidRPr="00AF5378">
        <w:rPr>
          <w:rFonts w:ascii="Palatino Linotype" w:hAnsi="Palatino Linotype"/>
          <w:sz w:val="24"/>
          <w:szCs w:val="24"/>
        </w:rPr>
        <w:t>Beneficiaries of any age with potential mental health disorders not yet diagnosed.</w:t>
      </w:r>
    </w:p>
    <w:p w14:paraId="3A35E80F" w14:textId="77777777" w:rsidR="005B0CAF" w:rsidRPr="00AF5378" w:rsidRDefault="005B0CAF" w:rsidP="009D0467">
      <w:pPr>
        <w:pStyle w:val="NoSpacing"/>
        <w:rPr>
          <w:rFonts w:ascii="Palatino Linotype" w:hAnsi="Palatino Linotype"/>
          <w:sz w:val="24"/>
          <w:szCs w:val="24"/>
        </w:rPr>
      </w:pPr>
    </w:p>
    <w:p w14:paraId="5BA6C32B" w14:textId="77777777" w:rsidR="002072E4" w:rsidRPr="00AF5378" w:rsidRDefault="002072E4" w:rsidP="009D0467">
      <w:pPr>
        <w:pStyle w:val="NoSpacing"/>
        <w:rPr>
          <w:rFonts w:ascii="Palatino Linotype" w:hAnsi="Palatino Linotype"/>
          <w:sz w:val="24"/>
          <w:szCs w:val="24"/>
        </w:rPr>
      </w:pPr>
    </w:p>
    <w:p w14:paraId="4E322B11" w14:textId="77777777" w:rsidR="007843BA" w:rsidRPr="00AF5378" w:rsidRDefault="007843BA">
      <w:pPr>
        <w:rPr>
          <w:rFonts w:ascii="Palatino Linotype" w:hAnsi="Palatino Linotype"/>
          <w:b/>
          <w:bCs/>
          <w:sz w:val="24"/>
          <w:szCs w:val="24"/>
          <w:u w:val="single"/>
        </w:rPr>
      </w:pPr>
      <w:r w:rsidRPr="00AF5378">
        <w:rPr>
          <w:rFonts w:ascii="Palatino Linotype" w:hAnsi="Palatino Linotype"/>
          <w:b/>
          <w:bCs/>
          <w:sz w:val="24"/>
          <w:szCs w:val="24"/>
          <w:u w:val="single"/>
        </w:rPr>
        <w:br w:type="page"/>
      </w:r>
    </w:p>
    <w:p w14:paraId="0F77DA2C" w14:textId="15649198" w:rsidR="008C3896" w:rsidRPr="00AF5378" w:rsidRDefault="008C3896" w:rsidP="008C3896">
      <w:pPr>
        <w:pStyle w:val="NoSpacing"/>
        <w:rPr>
          <w:rFonts w:ascii="Palatino Linotype" w:hAnsi="Palatino Linotype"/>
          <w:b/>
          <w:bCs/>
          <w:sz w:val="24"/>
          <w:szCs w:val="24"/>
          <w:u w:val="single"/>
        </w:rPr>
      </w:pPr>
      <w:r w:rsidRPr="00AF5378">
        <w:rPr>
          <w:rFonts w:ascii="Palatino Linotype" w:hAnsi="Palatino Linotype"/>
          <w:b/>
          <w:bCs/>
          <w:sz w:val="24"/>
          <w:szCs w:val="24"/>
          <w:u w:val="single"/>
        </w:rPr>
        <w:lastRenderedPageBreak/>
        <w:t>DEFINITIONS</w:t>
      </w:r>
    </w:p>
    <w:p w14:paraId="60CA5971" w14:textId="4DD61D84" w:rsidR="00E770B3" w:rsidRPr="00AF5378" w:rsidRDefault="00E770B3" w:rsidP="008C3896">
      <w:pPr>
        <w:pStyle w:val="NoSpacing"/>
        <w:rPr>
          <w:rFonts w:ascii="Palatino Linotype" w:hAnsi="Palatino Linotype"/>
          <w:b/>
          <w:bCs/>
          <w:sz w:val="24"/>
          <w:szCs w:val="24"/>
          <w:u w:val="single"/>
        </w:rPr>
      </w:pPr>
    </w:p>
    <w:p w14:paraId="51FFC36F" w14:textId="2729F338" w:rsidR="0015522B" w:rsidRPr="00AF5378" w:rsidRDefault="0015522B" w:rsidP="00B22F8C">
      <w:pPr>
        <w:pStyle w:val="Default"/>
        <w:rPr>
          <w:rFonts w:ascii="Palatino Linotype" w:hAnsi="Palatino Linotype"/>
        </w:rPr>
      </w:pPr>
      <w:r w:rsidRPr="00AF5378">
        <w:rPr>
          <w:rFonts w:ascii="Palatino Linotype" w:hAnsi="Palatino Linotype"/>
          <w:b/>
          <w:bCs/>
        </w:rPr>
        <w:t>Fee</w:t>
      </w:r>
      <w:r w:rsidR="00B35147" w:rsidRPr="00AF5378">
        <w:rPr>
          <w:rFonts w:ascii="Palatino Linotype" w:hAnsi="Palatino Linotype"/>
          <w:b/>
          <w:bCs/>
        </w:rPr>
        <w:t>-</w:t>
      </w:r>
      <w:r w:rsidRPr="00AF5378">
        <w:rPr>
          <w:rFonts w:ascii="Palatino Linotype" w:hAnsi="Palatino Linotype"/>
          <w:b/>
          <w:bCs/>
        </w:rPr>
        <w:t>For</w:t>
      </w:r>
      <w:r w:rsidR="00B35147" w:rsidRPr="00AF5378">
        <w:rPr>
          <w:rFonts w:ascii="Palatino Linotype" w:hAnsi="Palatino Linotype"/>
          <w:b/>
          <w:bCs/>
        </w:rPr>
        <w:t>-</w:t>
      </w:r>
      <w:r w:rsidRPr="00AF5378">
        <w:rPr>
          <w:rFonts w:ascii="Palatino Linotype" w:hAnsi="Palatino Linotype"/>
          <w:b/>
          <w:bCs/>
        </w:rPr>
        <w:t xml:space="preserve">Service </w:t>
      </w:r>
      <w:r w:rsidR="002542A0" w:rsidRPr="00AF5378">
        <w:rPr>
          <w:rFonts w:ascii="Palatino Linotype" w:hAnsi="Palatino Linotype"/>
          <w:b/>
          <w:bCs/>
        </w:rPr>
        <w:t xml:space="preserve">(FFS) </w:t>
      </w:r>
      <w:r w:rsidRPr="00AF5378">
        <w:rPr>
          <w:rFonts w:ascii="Palatino Linotype" w:hAnsi="Palatino Linotype"/>
          <w:b/>
          <w:bCs/>
        </w:rPr>
        <w:t>Medi-Cal</w:t>
      </w:r>
      <w:r w:rsidR="00CC6F85" w:rsidRPr="00AF5378">
        <w:rPr>
          <w:rFonts w:ascii="Palatino Linotype" w:hAnsi="Palatino Linotype"/>
          <w:b/>
          <w:bCs/>
        </w:rPr>
        <w:t xml:space="preserve"> Delivery System</w:t>
      </w:r>
      <w:r w:rsidR="00B22F8C" w:rsidRPr="00AF5378">
        <w:rPr>
          <w:rFonts w:ascii="Palatino Linotype" w:hAnsi="Palatino Linotype"/>
          <w:b/>
          <w:bCs/>
        </w:rPr>
        <w:t xml:space="preserve">: </w:t>
      </w:r>
      <w:r w:rsidR="002542A0" w:rsidRPr="00AF5378">
        <w:rPr>
          <w:rFonts w:ascii="Palatino Linotype" w:hAnsi="Palatino Linotype"/>
        </w:rPr>
        <w:t xml:space="preserve">Under FFS, the state pays enrolled Medi-Cal providers directly for covered services provided to Medi-Cal beneficiaries. </w:t>
      </w:r>
      <w:r w:rsidR="00754780" w:rsidRPr="00AF5378">
        <w:rPr>
          <w:rFonts w:ascii="Palatino Linotype" w:hAnsi="Palatino Linotype"/>
        </w:rPr>
        <w:t>FFS providers render services and then submit claims for payment that are adjudicated, processed, and paid (or denied) by the Medi-Cal program's fiscal intermediary.</w:t>
      </w:r>
      <w:r w:rsidR="00754780" w:rsidRPr="00AF5378">
        <w:rPr>
          <w:rFonts w:ascii="Palatino Linotype" w:hAnsi="Palatino Linotype"/>
          <w:b/>
          <w:bCs/>
        </w:rPr>
        <w:t xml:space="preserve"> </w:t>
      </w:r>
    </w:p>
    <w:p w14:paraId="088AB1D4" w14:textId="77777777" w:rsidR="0015522B" w:rsidRPr="00AF5378" w:rsidRDefault="0015522B" w:rsidP="0015522B">
      <w:pPr>
        <w:pStyle w:val="Default"/>
        <w:rPr>
          <w:rFonts w:ascii="Palatino Linotype" w:hAnsi="Palatino Linotype"/>
          <w:b/>
          <w:bCs/>
        </w:rPr>
      </w:pPr>
    </w:p>
    <w:p w14:paraId="78760DD3" w14:textId="5BF95DA7" w:rsidR="0015522B" w:rsidRPr="00AF5378" w:rsidRDefault="0015522B" w:rsidP="0015522B">
      <w:pPr>
        <w:pStyle w:val="Default"/>
        <w:rPr>
          <w:rFonts w:ascii="Palatino Linotype" w:hAnsi="Palatino Linotype"/>
        </w:rPr>
      </w:pPr>
      <w:r w:rsidRPr="00AF5378">
        <w:rPr>
          <w:rFonts w:ascii="Palatino Linotype" w:hAnsi="Palatino Linotype"/>
          <w:b/>
          <w:bCs/>
        </w:rPr>
        <w:t>Homelessness:</w:t>
      </w:r>
      <w:r w:rsidRPr="00AF5378">
        <w:rPr>
          <w:rFonts w:ascii="Palatino Linotype" w:hAnsi="Palatino Linotype"/>
        </w:rPr>
        <w:t xml:space="preserve"> The beneficiary meets the definition established in section 11434a of</w:t>
      </w:r>
    </w:p>
    <w:p w14:paraId="63FD3F80" w14:textId="77777777" w:rsidR="0015522B" w:rsidRPr="00AF5378" w:rsidRDefault="0015522B" w:rsidP="0015522B">
      <w:pPr>
        <w:pStyle w:val="Default"/>
        <w:rPr>
          <w:rFonts w:ascii="Palatino Linotype" w:hAnsi="Palatino Linotype"/>
        </w:rPr>
      </w:pPr>
      <w:r w:rsidRPr="00AF5378">
        <w:rPr>
          <w:rFonts w:ascii="Palatino Linotype" w:hAnsi="Palatino Linotype"/>
        </w:rPr>
        <w:t>the federal McKinney-Vento Homeless Assistance Act.</w:t>
      </w:r>
      <w:r w:rsidRPr="00AF5378">
        <w:rPr>
          <w:rStyle w:val="FootnoteReference"/>
          <w:rFonts w:ascii="Palatino Linotype" w:hAnsi="Palatino Linotype"/>
        </w:rPr>
        <w:footnoteReference w:id="14"/>
      </w:r>
      <w:r w:rsidRPr="00AF5378">
        <w:rPr>
          <w:rFonts w:ascii="Palatino Linotype" w:hAnsi="Palatino Linotype"/>
        </w:rPr>
        <w:t xml:space="preserve"> Specifically, this includes (A) </w:t>
      </w:r>
    </w:p>
    <w:p w14:paraId="057A086A" w14:textId="77777777" w:rsidR="0015522B" w:rsidRPr="00AF5378" w:rsidRDefault="0015522B" w:rsidP="0015522B">
      <w:pPr>
        <w:pStyle w:val="Default"/>
        <w:rPr>
          <w:rFonts w:ascii="Palatino Linotype" w:hAnsi="Palatino Linotype"/>
        </w:rPr>
      </w:pPr>
      <w:r w:rsidRPr="00AF5378">
        <w:rPr>
          <w:rFonts w:ascii="Palatino Linotype" w:hAnsi="Palatino Linotype"/>
        </w:rPr>
        <w:t>individuals who lack a fixed, regular, and adequate nighttime residence (within the</w:t>
      </w:r>
    </w:p>
    <w:p w14:paraId="35A1881A" w14:textId="77777777" w:rsidR="0015522B" w:rsidRPr="00AF5378" w:rsidRDefault="0015522B" w:rsidP="0015522B">
      <w:pPr>
        <w:pStyle w:val="Default"/>
        <w:rPr>
          <w:rFonts w:ascii="Palatino Linotype" w:hAnsi="Palatino Linotype"/>
        </w:rPr>
      </w:pPr>
      <w:r w:rsidRPr="00AF5378">
        <w:rPr>
          <w:rFonts w:ascii="Palatino Linotype" w:hAnsi="Palatino Linotype"/>
        </w:rPr>
        <w:t>meaning of section 103(a)(1) of the Act); and (B) includes (i) children and youths who</w:t>
      </w:r>
    </w:p>
    <w:p w14:paraId="10EF0CC3" w14:textId="77777777" w:rsidR="0015522B" w:rsidRPr="00AF5378" w:rsidRDefault="0015522B" w:rsidP="0015522B">
      <w:pPr>
        <w:pStyle w:val="Default"/>
        <w:rPr>
          <w:rFonts w:ascii="Palatino Linotype" w:hAnsi="Palatino Linotype"/>
        </w:rPr>
      </w:pPr>
      <w:r w:rsidRPr="00AF5378">
        <w:rPr>
          <w:rFonts w:ascii="Palatino Linotype" w:hAnsi="Palatino Linotype"/>
        </w:rPr>
        <w:t xml:space="preserve">are sharing the housing of other persons due to loss of housing, economic hardship, or </w:t>
      </w:r>
    </w:p>
    <w:p w14:paraId="3DC95AF9" w14:textId="77777777" w:rsidR="0015522B" w:rsidRPr="00AF5378" w:rsidRDefault="0015522B" w:rsidP="0015522B">
      <w:pPr>
        <w:pStyle w:val="Default"/>
        <w:rPr>
          <w:rFonts w:ascii="Palatino Linotype" w:hAnsi="Palatino Linotype"/>
        </w:rPr>
      </w:pPr>
      <w:r w:rsidRPr="00AF5378">
        <w:rPr>
          <w:rFonts w:ascii="Palatino Linotype" w:hAnsi="Palatino Linotype"/>
        </w:rPr>
        <w:t>a similar reason; are living in motels, hotels, trailer parks, or camping grounds due to</w:t>
      </w:r>
    </w:p>
    <w:p w14:paraId="4E43A483" w14:textId="61E14B7A" w:rsidR="0015522B" w:rsidRPr="00AF5378" w:rsidRDefault="0015522B" w:rsidP="00E770B3">
      <w:pPr>
        <w:pStyle w:val="Default"/>
        <w:rPr>
          <w:rFonts w:ascii="Palatino Linotype" w:hAnsi="Palatino Linotype"/>
        </w:rPr>
      </w:pPr>
      <w:r w:rsidRPr="00AF5378">
        <w:rPr>
          <w:rFonts w:ascii="Palatino Linotype" w:hAnsi="Palatino Linotype"/>
        </w:rPr>
        <w:t>the lack of alternative adequate accommodations; are living in emergency or transitional shelters; or are abandoned in hospitals; (ii) children and youths who have a primary nighttime residence that is a public or private place not designed for or ordinarily used as a regular sleeping accommodation for human beings (within the meaning of section 103(a)(2)(C)); (iii) children and youths who are living in cars, parks, public spaces, abandoned buildings, substandard housing, bus or train stations, or similar settings; and (iv) migratory children (as such term is defined in section 1309 of the Elementary and Secondary Education Act of 1965) who qualify as homeless for the purposes of this subtitle because the children are living in circumstances described in clauses (i) through (iii).</w:t>
      </w:r>
    </w:p>
    <w:p w14:paraId="098F274A" w14:textId="77777777" w:rsidR="0015522B" w:rsidRPr="00AF5378" w:rsidRDefault="0015522B" w:rsidP="00E770B3">
      <w:pPr>
        <w:pStyle w:val="Default"/>
        <w:rPr>
          <w:rFonts w:ascii="Palatino Linotype" w:hAnsi="Palatino Linotype"/>
          <w:b/>
          <w:bCs/>
        </w:rPr>
      </w:pPr>
    </w:p>
    <w:p w14:paraId="7C8775F4" w14:textId="140B1E1E" w:rsidR="00E770B3" w:rsidRPr="00AF5378" w:rsidRDefault="00E770B3" w:rsidP="00E770B3">
      <w:pPr>
        <w:pStyle w:val="Default"/>
        <w:rPr>
          <w:rFonts w:ascii="Palatino Linotype" w:hAnsi="Palatino Linotype"/>
        </w:rPr>
      </w:pPr>
      <w:r w:rsidRPr="00AF5378">
        <w:rPr>
          <w:rFonts w:ascii="Palatino Linotype" w:hAnsi="Palatino Linotype"/>
          <w:b/>
          <w:bCs/>
        </w:rPr>
        <w:t>Involvement in child welfare</w:t>
      </w:r>
      <w:r w:rsidRPr="00AF5378">
        <w:rPr>
          <w:rFonts w:ascii="Palatino Linotype" w:hAnsi="Palatino Linotype"/>
        </w:rPr>
        <w:t>: The beneficiary has an open child welfare services case,</w:t>
      </w:r>
    </w:p>
    <w:p w14:paraId="73C504CD" w14:textId="77777777" w:rsidR="00E770B3" w:rsidRPr="00AF5378" w:rsidRDefault="00E770B3" w:rsidP="00E770B3">
      <w:pPr>
        <w:pStyle w:val="Default"/>
        <w:rPr>
          <w:rFonts w:ascii="Palatino Linotype" w:hAnsi="Palatino Linotype"/>
        </w:rPr>
      </w:pPr>
      <w:r w:rsidRPr="00AF5378">
        <w:rPr>
          <w:rFonts w:ascii="Palatino Linotype" w:hAnsi="Palatino Linotype"/>
        </w:rPr>
        <w:t xml:space="preserve">or the beneficiary is determined by a child welfare services agency to be at imminent </w:t>
      </w:r>
    </w:p>
    <w:p w14:paraId="685633B7" w14:textId="77777777" w:rsidR="00E770B3" w:rsidRPr="00AF5378" w:rsidRDefault="00E770B3" w:rsidP="00E770B3">
      <w:pPr>
        <w:pStyle w:val="Default"/>
        <w:rPr>
          <w:rFonts w:ascii="Palatino Linotype" w:hAnsi="Palatino Linotype"/>
        </w:rPr>
      </w:pPr>
      <w:r w:rsidRPr="00AF5378">
        <w:rPr>
          <w:rFonts w:ascii="Palatino Linotype" w:hAnsi="Palatino Linotype"/>
        </w:rPr>
        <w:t>risk of entering foster care but able to safely remain in their home or kinship placement</w:t>
      </w:r>
    </w:p>
    <w:p w14:paraId="4E0AEE70" w14:textId="77777777" w:rsidR="00E770B3" w:rsidRPr="00AF5378" w:rsidRDefault="00E770B3" w:rsidP="00E770B3">
      <w:pPr>
        <w:pStyle w:val="Default"/>
        <w:rPr>
          <w:rFonts w:ascii="Palatino Linotype" w:hAnsi="Palatino Linotype"/>
        </w:rPr>
      </w:pPr>
      <w:r w:rsidRPr="00AF5378">
        <w:rPr>
          <w:rFonts w:ascii="Palatino Linotype" w:hAnsi="Palatino Linotype"/>
        </w:rPr>
        <w:t>with the provision of services under a prevention plan, or the beneficiary is a child</w:t>
      </w:r>
    </w:p>
    <w:p w14:paraId="45A61FEE" w14:textId="59F8A85F" w:rsidR="00E770B3" w:rsidRPr="00AF5378" w:rsidRDefault="00E770B3" w:rsidP="00E770B3">
      <w:pPr>
        <w:pStyle w:val="Default"/>
        <w:rPr>
          <w:rFonts w:ascii="Palatino Linotype" w:hAnsi="Palatino Linotype"/>
        </w:rPr>
      </w:pPr>
      <w:r w:rsidRPr="00AF5378">
        <w:rPr>
          <w:rFonts w:ascii="Palatino Linotype" w:hAnsi="Palatino Linotype"/>
        </w:rPr>
        <w:t>whose adoption or guardianship occurred through the child welfare system. A child has an open child welfare services case if: a) the child is in foster care or in out of home</w:t>
      </w:r>
    </w:p>
    <w:p w14:paraId="1123C7D4" w14:textId="77777777" w:rsidR="00E770B3" w:rsidRPr="00AF5378" w:rsidRDefault="00E770B3" w:rsidP="00E770B3">
      <w:pPr>
        <w:pStyle w:val="Default"/>
        <w:rPr>
          <w:rFonts w:ascii="Palatino Linotype" w:hAnsi="Palatino Linotype"/>
        </w:rPr>
      </w:pPr>
      <w:r w:rsidRPr="00AF5378">
        <w:rPr>
          <w:rFonts w:ascii="Palatino Linotype" w:hAnsi="Palatino Linotype"/>
        </w:rPr>
        <w:t>care, including both court-ordered and by voluntary agreement; or b) the child has a</w:t>
      </w:r>
    </w:p>
    <w:p w14:paraId="17217987" w14:textId="54F6A0D6" w:rsidR="00E770B3" w:rsidRPr="00AF5378" w:rsidRDefault="00E770B3" w:rsidP="00E770B3">
      <w:pPr>
        <w:pStyle w:val="Default"/>
        <w:rPr>
          <w:rFonts w:ascii="Palatino Linotype" w:hAnsi="Palatino Linotype"/>
        </w:rPr>
      </w:pPr>
      <w:r w:rsidRPr="00AF5378">
        <w:rPr>
          <w:rFonts w:ascii="Palatino Linotype" w:hAnsi="Palatino Linotype"/>
        </w:rPr>
        <w:t>family maintenance case (pre-placement or post-reunification), including both court ordered and by voluntary agreement. A child can have involvement in child welfare whether the child remains in the home or is placed out of the home.</w:t>
      </w:r>
    </w:p>
    <w:p w14:paraId="07039E37" w14:textId="77777777" w:rsidR="00E770B3" w:rsidRPr="00AF5378" w:rsidRDefault="00E770B3" w:rsidP="00E770B3">
      <w:pPr>
        <w:pStyle w:val="Default"/>
        <w:rPr>
          <w:rFonts w:ascii="Palatino Linotype" w:hAnsi="Palatino Linotype"/>
          <w:b/>
          <w:bCs/>
        </w:rPr>
      </w:pPr>
    </w:p>
    <w:p w14:paraId="30D94F37" w14:textId="77777777" w:rsidR="00E770B3" w:rsidRPr="00AF5378" w:rsidRDefault="00E770B3" w:rsidP="00E770B3">
      <w:pPr>
        <w:pStyle w:val="Default"/>
        <w:rPr>
          <w:rFonts w:ascii="Palatino Linotype" w:hAnsi="Palatino Linotype"/>
        </w:rPr>
      </w:pPr>
      <w:r w:rsidRPr="00AF5378">
        <w:rPr>
          <w:rFonts w:ascii="Palatino Linotype" w:hAnsi="Palatino Linotype"/>
          <w:b/>
          <w:bCs/>
        </w:rPr>
        <w:t>Juvenile justice involvement:</w:t>
      </w:r>
      <w:r w:rsidRPr="00AF5378">
        <w:rPr>
          <w:rFonts w:ascii="Palatino Linotype" w:hAnsi="Palatino Linotype"/>
        </w:rPr>
        <w:t xml:space="preserve"> The beneficiary (1) has ever been detained or </w:t>
      </w:r>
    </w:p>
    <w:p w14:paraId="1BC0C367" w14:textId="77777777" w:rsidR="00E770B3" w:rsidRPr="00AF5378" w:rsidRDefault="00E770B3" w:rsidP="00E770B3">
      <w:pPr>
        <w:pStyle w:val="Default"/>
        <w:rPr>
          <w:rFonts w:ascii="Palatino Linotype" w:hAnsi="Palatino Linotype"/>
        </w:rPr>
      </w:pPr>
      <w:r w:rsidRPr="00AF5378">
        <w:rPr>
          <w:rFonts w:ascii="Palatino Linotype" w:hAnsi="Palatino Linotype"/>
        </w:rPr>
        <w:t>committed to a juvenile justice facility, or (2) is currently under supervision by the</w:t>
      </w:r>
    </w:p>
    <w:p w14:paraId="4D1518C4" w14:textId="77777777" w:rsidR="00E770B3" w:rsidRPr="00AF5378" w:rsidRDefault="00E770B3" w:rsidP="00E770B3">
      <w:pPr>
        <w:pStyle w:val="Default"/>
        <w:rPr>
          <w:rFonts w:ascii="Palatino Linotype" w:hAnsi="Palatino Linotype"/>
        </w:rPr>
      </w:pPr>
      <w:r w:rsidRPr="00AF5378">
        <w:rPr>
          <w:rFonts w:ascii="Palatino Linotype" w:hAnsi="Palatino Linotype"/>
        </w:rPr>
        <w:lastRenderedPageBreak/>
        <w:t>juvenile delinquency court and/or a juvenile probation agency. Beneficiaries who have</w:t>
      </w:r>
    </w:p>
    <w:p w14:paraId="3D63E295" w14:textId="77777777" w:rsidR="00E770B3" w:rsidRPr="00AF5378" w:rsidRDefault="00E770B3" w:rsidP="00E770B3">
      <w:pPr>
        <w:pStyle w:val="Default"/>
        <w:rPr>
          <w:rFonts w:ascii="Palatino Linotype" w:hAnsi="Palatino Linotype"/>
        </w:rPr>
      </w:pPr>
      <w:r w:rsidRPr="00AF5378">
        <w:rPr>
          <w:rFonts w:ascii="Palatino Linotype" w:hAnsi="Palatino Linotype"/>
        </w:rPr>
        <w:t xml:space="preserve">ever been in custody and held involuntarily through operation of law enforcement </w:t>
      </w:r>
    </w:p>
    <w:p w14:paraId="50FA11AE" w14:textId="64CD6CD1" w:rsidR="00E770B3" w:rsidRPr="00AF5378" w:rsidRDefault="00E770B3" w:rsidP="00E770B3">
      <w:pPr>
        <w:pStyle w:val="Default"/>
        <w:rPr>
          <w:rFonts w:ascii="Palatino Linotype" w:hAnsi="Palatino Linotype"/>
        </w:rPr>
      </w:pPr>
      <w:r w:rsidRPr="00AF5378">
        <w:rPr>
          <w:rFonts w:ascii="Palatino Linotype" w:hAnsi="Palatino Linotype"/>
        </w:rPr>
        <w:t>authorities in a juvenile justice facility, including youth correctional institutions, juvenile detention facilities, juvenile justice centers, and other settings such as boot camps, ranches, and forestry/conservation camps, are included in the “juvenile justice</w:t>
      </w:r>
    </w:p>
    <w:p w14:paraId="24852777" w14:textId="77777777" w:rsidR="00E770B3" w:rsidRPr="00AF5378" w:rsidRDefault="00E770B3" w:rsidP="00E770B3">
      <w:pPr>
        <w:pStyle w:val="Default"/>
        <w:rPr>
          <w:rFonts w:ascii="Palatino Linotype" w:hAnsi="Palatino Linotype"/>
        </w:rPr>
      </w:pPr>
      <w:r w:rsidRPr="00AF5378">
        <w:rPr>
          <w:rFonts w:ascii="Palatino Linotype" w:hAnsi="Palatino Linotype"/>
        </w:rPr>
        <w:t xml:space="preserve">involvement” definition. Beneficiaries on probation, who have been released home or detained/placed in foster care pending or post-adjudication, under probation or court </w:t>
      </w:r>
    </w:p>
    <w:p w14:paraId="2347BF3F" w14:textId="77777777" w:rsidR="00E770B3" w:rsidRPr="00AF5378" w:rsidRDefault="00E770B3" w:rsidP="00E770B3">
      <w:pPr>
        <w:pStyle w:val="Default"/>
        <w:rPr>
          <w:rFonts w:ascii="Palatino Linotype" w:hAnsi="Palatino Linotype"/>
        </w:rPr>
      </w:pPr>
      <w:r w:rsidRPr="00AF5378">
        <w:rPr>
          <w:rFonts w:ascii="Palatino Linotype" w:hAnsi="Palatino Linotype"/>
        </w:rPr>
        <w:t>supervision, participating in juvenile drug court or other diversion programs, and who</w:t>
      </w:r>
    </w:p>
    <w:p w14:paraId="1280A483" w14:textId="77777777" w:rsidR="00E770B3" w:rsidRPr="00AF5378" w:rsidRDefault="00E770B3" w:rsidP="00E770B3">
      <w:pPr>
        <w:pStyle w:val="Default"/>
        <w:rPr>
          <w:rFonts w:ascii="Palatino Linotype" w:hAnsi="Palatino Linotype"/>
        </w:rPr>
      </w:pPr>
      <w:r w:rsidRPr="00AF5378">
        <w:rPr>
          <w:rFonts w:ascii="Palatino Linotype" w:hAnsi="Palatino Linotype"/>
        </w:rPr>
        <w:t>are otherwise under supervision by the juvenile delinquency court and/or a juvenile</w:t>
      </w:r>
    </w:p>
    <w:p w14:paraId="6C33FA26" w14:textId="2FEFCFED" w:rsidR="00E770B3" w:rsidRPr="00AF5378" w:rsidRDefault="00E770B3" w:rsidP="00E770B3">
      <w:pPr>
        <w:pStyle w:val="Default"/>
        <w:rPr>
          <w:rFonts w:ascii="Palatino Linotype" w:hAnsi="Palatino Linotype"/>
        </w:rPr>
      </w:pPr>
      <w:r w:rsidRPr="00AF5378">
        <w:rPr>
          <w:rFonts w:ascii="Palatino Linotype" w:hAnsi="Palatino Linotype"/>
        </w:rPr>
        <w:t xml:space="preserve">probation agency also </w:t>
      </w:r>
      <w:r w:rsidR="00994368" w:rsidRPr="00AF5378">
        <w:rPr>
          <w:rFonts w:ascii="Palatino Linotype" w:hAnsi="Palatino Linotype"/>
        </w:rPr>
        <w:t>meets</w:t>
      </w:r>
      <w:r w:rsidRPr="00AF5378">
        <w:rPr>
          <w:rFonts w:ascii="Palatino Linotype" w:hAnsi="Palatino Linotype"/>
        </w:rPr>
        <w:t xml:space="preserve"> the “juvenile justice involvement” criteria</w:t>
      </w:r>
    </w:p>
    <w:p w14:paraId="129B30EE" w14:textId="77777777" w:rsidR="0015522B" w:rsidRPr="00AF5378" w:rsidRDefault="0015522B" w:rsidP="00E770B3">
      <w:pPr>
        <w:pStyle w:val="Default"/>
        <w:rPr>
          <w:rFonts w:ascii="Palatino Linotype" w:hAnsi="Palatino Linotype"/>
        </w:rPr>
      </w:pPr>
    </w:p>
    <w:p w14:paraId="0E02E0C1" w14:textId="7CF04CC4" w:rsidR="00EA5F84" w:rsidRPr="00AF5378" w:rsidRDefault="00EA5F84" w:rsidP="009E3983">
      <w:pPr>
        <w:pStyle w:val="Default"/>
        <w:rPr>
          <w:rFonts w:ascii="Palatino Linotype" w:hAnsi="Palatino Linotype"/>
        </w:rPr>
      </w:pPr>
      <w:r w:rsidRPr="00AF5378">
        <w:rPr>
          <w:rFonts w:ascii="Palatino Linotype" w:hAnsi="Palatino Linotype"/>
          <w:b/>
          <w:bCs/>
        </w:rPr>
        <w:t>Managed Care Plan (MCP)</w:t>
      </w:r>
      <w:r w:rsidR="00E80A0B" w:rsidRPr="00AF5378">
        <w:rPr>
          <w:rFonts w:ascii="Palatino Linotype" w:hAnsi="Palatino Linotype"/>
          <w:b/>
          <w:bCs/>
        </w:rPr>
        <w:t>:</w:t>
      </w:r>
      <w:r w:rsidR="007A43FB" w:rsidRPr="00AF5378">
        <w:t xml:space="preserve"> </w:t>
      </w:r>
      <w:r w:rsidR="009E3983" w:rsidRPr="00AF5378">
        <w:rPr>
          <w:rFonts w:ascii="Palatino Linotype" w:hAnsi="Palatino Linotype"/>
        </w:rPr>
        <w:t xml:space="preserve">MCPs </w:t>
      </w:r>
      <w:r w:rsidR="00CC78E9" w:rsidRPr="00AF5378">
        <w:rPr>
          <w:rFonts w:ascii="Palatino Linotype" w:hAnsi="Palatino Linotype"/>
        </w:rPr>
        <w:t>are responsible for</w:t>
      </w:r>
      <w:r w:rsidR="00D1719A" w:rsidRPr="00AF5378">
        <w:rPr>
          <w:rFonts w:ascii="Palatino Linotype" w:hAnsi="Palatino Linotype"/>
        </w:rPr>
        <w:t xml:space="preserve"> the Medi-Cal physical healthcare benefit. </w:t>
      </w:r>
      <w:r w:rsidR="00FF39CC" w:rsidRPr="00AF5378">
        <w:rPr>
          <w:rFonts w:ascii="Palatino Linotype" w:hAnsi="Palatino Linotype"/>
        </w:rPr>
        <w:t>They are also responsib</w:t>
      </w:r>
      <w:r w:rsidR="00CF318B" w:rsidRPr="00AF5378">
        <w:rPr>
          <w:rFonts w:ascii="Palatino Linotype" w:hAnsi="Palatino Linotype"/>
        </w:rPr>
        <w:t xml:space="preserve">le for </w:t>
      </w:r>
      <w:r w:rsidR="00F5492E" w:rsidRPr="00AF5378">
        <w:rPr>
          <w:rFonts w:ascii="Palatino Linotype" w:hAnsi="Palatino Linotype"/>
        </w:rPr>
        <w:t xml:space="preserve">a portion of the mental health benefit, and </w:t>
      </w:r>
      <w:r w:rsidR="009E3983" w:rsidRPr="00AF5378">
        <w:rPr>
          <w:rFonts w:ascii="Palatino Linotype" w:hAnsi="Palatino Linotype"/>
        </w:rPr>
        <w:t>must provide specified services to adults diagnosed with a mental health disorder, as defined by the current Diagnostic and Statistical Manual of Mental Disorders (DSM),</w:t>
      </w:r>
      <w:r w:rsidR="009B7205" w:rsidRPr="00AF5378">
        <w:rPr>
          <w:rFonts w:ascii="Palatino Linotype" w:hAnsi="Palatino Linotype"/>
        </w:rPr>
        <w:t xml:space="preserve"> </w:t>
      </w:r>
      <w:r w:rsidR="009E3983" w:rsidRPr="00AF5378">
        <w:rPr>
          <w:rFonts w:ascii="Palatino Linotype" w:hAnsi="Palatino Linotype"/>
        </w:rPr>
        <w:t>that results in mild to moderate</w:t>
      </w:r>
      <w:r w:rsidR="00E2461E" w:rsidRPr="00AF5378">
        <w:rPr>
          <w:rFonts w:ascii="Palatino Linotype" w:hAnsi="Palatino Linotype"/>
        </w:rPr>
        <w:t xml:space="preserve"> </w:t>
      </w:r>
      <w:r w:rsidR="009E3983" w:rsidRPr="00AF5378">
        <w:rPr>
          <w:rFonts w:ascii="Palatino Linotype" w:hAnsi="Palatino Linotype"/>
        </w:rPr>
        <w:t>distress or impairment</w:t>
      </w:r>
      <w:r w:rsidR="009B7205" w:rsidRPr="00AF5378">
        <w:rPr>
          <w:rFonts w:ascii="Palatino Linotype" w:hAnsi="Palatino Linotype"/>
        </w:rPr>
        <w:t xml:space="preserve"> </w:t>
      </w:r>
      <w:r w:rsidR="009E3983" w:rsidRPr="00AF5378">
        <w:rPr>
          <w:rFonts w:ascii="Palatino Linotype" w:hAnsi="Palatino Linotype"/>
        </w:rPr>
        <w:t>of mental, emotional, or behavioral functioning. MCPs must also provide medically necessary non-specialty mental health service</w:t>
      </w:r>
      <w:r w:rsidR="00E2461E" w:rsidRPr="00AF5378">
        <w:rPr>
          <w:rFonts w:ascii="Palatino Linotype" w:hAnsi="Palatino Linotype"/>
        </w:rPr>
        <w:t xml:space="preserve">s </w:t>
      </w:r>
      <w:r w:rsidR="009E3983" w:rsidRPr="00AF5378">
        <w:rPr>
          <w:rFonts w:ascii="Palatino Linotype" w:hAnsi="Palatino Linotype"/>
        </w:rPr>
        <w:t>to children under the</w:t>
      </w:r>
      <w:r w:rsidR="009B7205" w:rsidRPr="00AF5378">
        <w:rPr>
          <w:rFonts w:ascii="Palatino Linotype" w:hAnsi="Palatino Linotype"/>
        </w:rPr>
        <w:t xml:space="preserve"> </w:t>
      </w:r>
      <w:r w:rsidR="009E3983" w:rsidRPr="00AF5378">
        <w:rPr>
          <w:rFonts w:ascii="Palatino Linotype" w:hAnsi="Palatino Linotype"/>
        </w:rPr>
        <w:t>age of 21. MCP</w:t>
      </w:r>
      <w:r w:rsidR="00A55FE0" w:rsidRPr="00AF5378">
        <w:rPr>
          <w:rFonts w:ascii="Palatino Linotype" w:hAnsi="Palatino Linotype"/>
        </w:rPr>
        <w:t xml:space="preserve">s </w:t>
      </w:r>
      <w:r w:rsidR="009E3983" w:rsidRPr="00AF5378">
        <w:rPr>
          <w:rFonts w:ascii="Palatino Linotype" w:hAnsi="Palatino Linotype"/>
        </w:rPr>
        <w:t>refer</w:t>
      </w:r>
      <w:r w:rsidR="00A55FE0" w:rsidRPr="00AF5378">
        <w:rPr>
          <w:rFonts w:ascii="Palatino Linotype" w:hAnsi="Palatino Linotype"/>
        </w:rPr>
        <w:t xml:space="preserve"> to a</w:t>
      </w:r>
      <w:r w:rsidR="009E3983" w:rsidRPr="00AF5378">
        <w:rPr>
          <w:rFonts w:ascii="Palatino Linotype" w:hAnsi="Palatino Linotype"/>
        </w:rPr>
        <w:t>nd</w:t>
      </w:r>
      <w:r w:rsidR="00A55FE0" w:rsidRPr="00AF5378">
        <w:rPr>
          <w:rFonts w:ascii="Palatino Linotype" w:hAnsi="Palatino Linotype"/>
        </w:rPr>
        <w:t xml:space="preserve"> </w:t>
      </w:r>
      <w:r w:rsidR="009E3983" w:rsidRPr="00AF5378">
        <w:rPr>
          <w:rFonts w:ascii="Palatino Linotype" w:hAnsi="Palatino Linotype"/>
        </w:rPr>
        <w:t>coordin</w:t>
      </w:r>
      <w:r w:rsidR="00A55FE0" w:rsidRPr="00AF5378">
        <w:rPr>
          <w:rFonts w:ascii="Palatino Linotype" w:hAnsi="Palatino Linotype"/>
        </w:rPr>
        <w:t xml:space="preserve">ate with </w:t>
      </w:r>
      <w:r w:rsidR="009E3983" w:rsidRPr="00AF5378">
        <w:rPr>
          <w:rFonts w:ascii="Palatino Linotype" w:hAnsi="Palatino Linotype"/>
        </w:rPr>
        <w:t>county Mental Health Plans (MHPs) for the delivery of specialty</w:t>
      </w:r>
      <w:r w:rsidR="00A55FE0" w:rsidRPr="00AF5378">
        <w:rPr>
          <w:rFonts w:ascii="Palatino Linotype" w:hAnsi="Palatino Linotype"/>
        </w:rPr>
        <w:t xml:space="preserve"> </w:t>
      </w:r>
      <w:r w:rsidR="009E3983" w:rsidRPr="00AF5378">
        <w:rPr>
          <w:rFonts w:ascii="Palatino Linotype" w:hAnsi="Palatino Linotype"/>
        </w:rPr>
        <w:t>mental health services (SMHS).</w:t>
      </w:r>
    </w:p>
    <w:p w14:paraId="6A0D4C87" w14:textId="77777777" w:rsidR="00EA5F84" w:rsidRPr="00AF5378" w:rsidRDefault="00EA5F84" w:rsidP="00E770B3">
      <w:pPr>
        <w:pStyle w:val="Default"/>
        <w:rPr>
          <w:rFonts w:ascii="Palatino Linotype" w:hAnsi="Palatino Linotype"/>
          <w:b/>
          <w:bCs/>
        </w:rPr>
      </w:pPr>
    </w:p>
    <w:p w14:paraId="2669526A" w14:textId="07A87993" w:rsidR="0015522B" w:rsidRPr="00AF5378" w:rsidRDefault="0015522B" w:rsidP="00AB7FCF">
      <w:pPr>
        <w:pStyle w:val="Default"/>
        <w:rPr>
          <w:rFonts w:ascii="Palatino Linotype" w:hAnsi="Palatino Linotype"/>
        </w:rPr>
      </w:pPr>
      <w:r w:rsidRPr="00AF5378">
        <w:rPr>
          <w:rFonts w:ascii="Palatino Linotype" w:hAnsi="Palatino Linotype"/>
          <w:b/>
          <w:bCs/>
        </w:rPr>
        <w:t xml:space="preserve">Non-Specialty Mental Health Services (NSMHS): </w:t>
      </w:r>
      <w:r w:rsidR="00C26138" w:rsidRPr="00AF5378">
        <w:rPr>
          <w:rFonts w:ascii="Palatino Linotype" w:hAnsi="Palatino Linotype"/>
        </w:rPr>
        <w:t xml:space="preserve">NSMHS are delivered via </w:t>
      </w:r>
      <w:r w:rsidR="00F5492E" w:rsidRPr="00AF5378">
        <w:rPr>
          <w:rFonts w:ascii="Palatino Linotype" w:hAnsi="Palatino Linotype"/>
        </w:rPr>
        <w:t>MCP</w:t>
      </w:r>
      <w:r w:rsidR="00C26138" w:rsidRPr="00AF5378">
        <w:rPr>
          <w:rFonts w:ascii="Palatino Linotype" w:hAnsi="Palatino Linotype"/>
        </w:rPr>
        <w:t xml:space="preserve"> and </w:t>
      </w:r>
      <w:r w:rsidR="00F5492E" w:rsidRPr="00AF5378">
        <w:rPr>
          <w:rFonts w:ascii="Palatino Linotype" w:hAnsi="Palatino Linotype"/>
        </w:rPr>
        <w:t>FFS</w:t>
      </w:r>
      <w:r w:rsidR="00C26138" w:rsidRPr="00AF5378">
        <w:rPr>
          <w:rFonts w:ascii="Palatino Linotype" w:hAnsi="Palatino Linotype"/>
        </w:rPr>
        <w:t xml:space="preserve"> delivery systems and </w:t>
      </w:r>
      <w:r w:rsidR="0002241D" w:rsidRPr="00AF5378">
        <w:rPr>
          <w:rFonts w:ascii="Palatino Linotype" w:hAnsi="Palatino Linotype"/>
        </w:rPr>
        <w:t>are pro</w:t>
      </w:r>
      <w:r w:rsidR="00C5279A" w:rsidRPr="00AF5378">
        <w:rPr>
          <w:rFonts w:ascii="Palatino Linotype" w:hAnsi="Palatino Linotype"/>
        </w:rPr>
        <w:t>vided to</w:t>
      </w:r>
      <w:r w:rsidR="00AB7FCF" w:rsidRPr="00AF5378">
        <w:rPr>
          <w:rFonts w:ascii="Palatino Linotype" w:hAnsi="Palatino Linotype"/>
        </w:rPr>
        <w:t xml:space="preserve"> recipients 21 years and over with mild</w:t>
      </w:r>
      <w:r w:rsidR="00F5492E" w:rsidRPr="00AF5378">
        <w:rPr>
          <w:rFonts w:ascii="Palatino Linotype" w:hAnsi="Palatino Linotype"/>
        </w:rPr>
        <w:t>-</w:t>
      </w:r>
      <w:r w:rsidR="00AB7FCF" w:rsidRPr="00AF5378">
        <w:rPr>
          <w:rFonts w:ascii="Palatino Linotype" w:hAnsi="Palatino Linotype"/>
        </w:rPr>
        <w:t>to</w:t>
      </w:r>
      <w:r w:rsidR="00F5492E" w:rsidRPr="00AF5378">
        <w:rPr>
          <w:rFonts w:ascii="Palatino Linotype" w:hAnsi="Palatino Linotype"/>
        </w:rPr>
        <w:t>-</w:t>
      </w:r>
      <w:r w:rsidR="00AB7FCF" w:rsidRPr="00AF5378">
        <w:rPr>
          <w:rFonts w:ascii="Palatino Linotype" w:hAnsi="Palatino Linotype"/>
        </w:rPr>
        <w:t xml:space="preserve"> moderate distress or mild-to-moderate impairment of mental, emotional, or behavioral functioning resulting from mental health disorders</w:t>
      </w:r>
      <w:r w:rsidR="003B6062" w:rsidRPr="00AF5378">
        <w:rPr>
          <w:rFonts w:ascii="Palatino Linotype" w:hAnsi="Palatino Linotype"/>
        </w:rPr>
        <w:t>.</w:t>
      </w:r>
      <w:r w:rsidR="00AB7FCF" w:rsidRPr="00AF5378">
        <w:rPr>
          <w:rFonts w:ascii="Palatino Linotype" w:hAnsi="Palatino Linotype"/>
        </w:rPr>
        <w:t xml:space="preserve"> </w:t>
      </w:r>
      <w:r w:rsidR="003B6062" w:rsidRPr="00AF5378">
        <w:rPr>
          <w:rFonts w:ascii="Palatino Linotype" w:hAnsi="Palatino Linotype"/>
        </w:rPr>
        <w:t>NSMHS may be provided to r</w:t>
      </w:r>
      <w:r w:rsidR="00AB7FCF" w:rsidRPr="00AF5378">
        <w:rPr>
          <w:rFonts w:ascii="Palatino Linotype" w:hAnsi="Palatino Linotype"/>
        </w:rPr>
        <w:t>ecipients under age 21, to the extent otherwise eligible for services through EPSDT, regardless of level of distress or impairment or the presence of a diagnosis, and</w:t>
      </w:r>
      <w:r w:rsidR="003B6062" w:rsidRPr="00AF5378">
        <w:rPr>
          <w:rFonts w:ascii="Palatino Linotype" w:hAnsi="Palatino Linotype"/>
        </w:rPr>
        <w:t xml:space="preserve"> r</w:t>
      </w:r>
      <w:r w:rsidR="00AB7FCF" w:rsidRPr="00AF5378">
        <w:rPr>
          <w:rFonts w:ascii="Palatino Linotype" w:hAnsi="Palatino Linotype"/>
        </w:rPr>
        <w:t>ecipients of any age with potential mental health disorders not yet diagnosed.</w:t>
      </w:r>
    </w:p>
    <w:p w14:paraId="07DBF695" w14:textId="77777777" w:rsidR="0015522B" w:rsidRPr="00AF5378" w:rsidRDefault="0015522B" w:rsidP="00E770B3">
      <w:pPr>
        <w:pStyle w:val="Default"/>
        <w:rPr>
          <w:rFonts w:ascii="Palatino Linotype" w:hAnsi="Palatino Linotype"/>
          <w:b/>
          <w:bCs/>
        </w:rPr>
      </w:pPr>
    </w:p>
    <w:p w14:paraId="0FA72328" w14:textId="18D73BD3" w:rsidR="0015522B" w:rsidRPr="00AF5378" w:rsidRDefault="0015522B" w:rsidP="00C7540B">
      <w:pPr>
        <w:pStyle w:val="Default"/>
        <w:rPr>
          <w:rFonts w:ascii="Palatino Linotype" w:hAnsi="Palatino Linotype"/>
        </w:rPr>
      </w:pPr>
      <w:r w:rsidRPr="00AF5378">
        <w:rPr>
          <w:rFonts w:ascii="Palatino Linotype" w:hAnsi="Palatino Linotype"/>
          <w:b/>
          <w:bCs/>
        </w:rPr>
        <w:t xml:space="preserve">Specialty Mental Health Services (SMHS): </w:t>
      </w:r>
      <w:r w:rsidR="00930053" w:rsidRPr="00AF5378">
        <w:rPr>
          <w:rFonts w:ascii="Palatino Linotype" w:hAnsi="Palatino Linotype"/>
        </w:rPr>
        <w:t xml:space="preserve">Specialty mental health services </w:t>
      </w:r>
      <w:r w:rsidR="001A5D75" w:rsidRPr="00AF5378">
        <w:rPr>
          <w:rFonts w:ascii="Palatino Linotype" w:hAnsi="Palatino Linotype"/>
        </w:rPr>
        <w:t xml:space="preserve">include </w:t>
      </w:r>
      <w:r w:rsidR="00693E78" w:rsidRPr="00AF5378">
        <w:rPr>
          <w:rFonts w:ascii="Palatino Linotype" w:hAnsi="Palatino Linotype"/>
        </w:rPr>
        <w:t xml:space="preserve">but are not limited to: </w:t>
      </w:r>
      <w:r w:rsidR="00875938" w:rsidRPr="00AF5378">
        <w:rPr>
          <w:rFonts w:ascii="Palatino Linotype" w:hAnsi="Palatino Linotype"/>
        </w:rPr>
        <w:t>Assessment, Plan De</w:t>
      </w:r>
      <w:r w:rsidR="003B69FD" w:rsidRPr="00AF5378">
        <w:rPr>
          <w:rFonts w:ascii="Palatino Linotype" w:hAnsi="Palatino Linotype"/>
        </w:rPr>
        <w:t>ve</w:t>
      </w:r>
      <w:r w:rsidR="00875938" w:rsidRPr="00AF5378">
        <w:rPr>
          <w:rFonts w:ascii="Palatino Linotype" w:hAnsi="Palatino Linotype"/>
        </w:rPr>
        <w:t xml:space="preserve">lopment, Rehabilitation </w:t>
      </w:r>
      <w:r w:rsidR="00116402" w:rsidRPr="00AF5378">
        <w:rPr>
          <w:rFonts w:ascii="Palatino Linotype" w:hAnsi="Palatino Linotype"/>
        </w:rPr>
        <w:t>S</w:t>
      </w:r>
      <w:r w:rsidR="00875938" w:rsidRPr="00AF5378">
        <w:rPr>
          <w:rFonts w:ascii="Palatino Linotype" w:hAnsi="Palatino Linotype"/>
        </w:rPr>
        <w:t xml:space="preserve">ervices, </w:t>
      </w:r>
      <w:r w:rsidR="00116402" w:rsidRPr="00AF5378">
        <w:rPr>
          <w:rFonts w:ascii="Palatino Linotype" w:hAnsi="Palatino Linotype"/>
        </w:rPr>
        <w:t>T</w:t>
      </w:r>
      <w:r w:rsidR="00875938" w:rsidRPr="00AF5378">
        <w:rPr>
          <w:rFonts w:ascii="Palatino Linotype" w:hAnsi="Palatino Linotype"/>
        </w:rPr>
        <w:t xml:space="preserve">herapy </w:t>
      </w:r>
      <w:r w:rsidR="00116402" w:rsidRPr="00AF5378">
        <w:rPr>
          <w:rFonts w:ascii="Palatino Linotype" w:hAnsi="Palatino Linotype"/>
        </w:rPr>
        <w:t>S</w:t>
      </w:r>
      <w:r w:rsidR="00875938" w:rsidRPr="00AF5378">
        <w:rPr>
          <w:rFonts w:ascii="Palatino Linotype" w:hAnsi="Palatino Linotype"/>
        </w:rPr>
        <w:t xml:space="preserve">ervices, </w:t>
      </w:r>
      <w:r w:rsidR="00116402" w:rsidRPr="00AF5378">
        <w:rPr>
          <w:rFonts w:ascii="Palatino Linotype" w:hAnsi="Palatino Linotype"/>
        </w:rPr>
        <w:t>C</w:t>
      </w:r>
      <w:r w:rsidR="00875938" w:rsidRPr="00AF5378">
        <w:rPr>
          <w:rFonts w:ascii="Palatino Linotype" w:hAnsi="Palatino Linotype"/>
        </w:rPr>
        <w:t xml:space="preserve">ollateral, </w:t>
      </w:r>
      <w:r w:rsidR="00116402" w:rsidRPr="00AF5378">
        <w:rPr>
          <w:rFonts w:ascii="Palatino Linotype" w:hAnsi="Palatino Linotype"/>
        </w:rPr>
        <w:t>M</w:t>
      </w:r>
      <w:r w:rsidR="00875938" w:rsidRPr="00AF5378">
        <w:rPr>
          <w:rFonts w:ascii="Palatino Linotype" w:hAnsi="Palatino Linotype"/>
        </w:rPr>
        <w:t xml:space="preserve">edication </w:t>
      </w:r>
      <w:r w:rsidR="00116402" w:rsidRPr="00AF5378">
        <w:rPr>
          <w:rFonts w:ascii="Palatino Linotype" w:hAnsi="Palatino Linotype"/>
        </w:rPr>
        <w:t>S</w:t>
      </w:r>
      <w:r w:rsidR="00875938" w:rsidRPr="00AF5378">
        <w:rPr>
          <w:rFonts w:ascii="Palatino Linotype" w:hAnsi="Palatino Linotype"/>
        </w:rPr>
        <w:t xml:space="preserve">upport </w:t>
      </w:r>
      <w:r w:rsidR="00116402" w:rsidRPr="00AF5378">
        <w:rPr>
          <w:rFonts w:ascii="Palatino Linotype" w:hAnsi="Palatino Linotype"/>
        </w:rPr>
        <w:t>S</w:t>
      </w:r>
      <w:r w:rsidR="00875938" w:rsidRPr="00AF5378">
        <w:rPr>
          <w:rFonts w:ascii="Palatino Linotype" w:hAnsi="Palatino Linotype"/>
        </w:rPr>
        <w:t xml:space="preserve">ervices, </w:t>
      </w:r>
      <w:r w:rsidR="00116402" w:rsidRPr="00AF5378">
        <w:rPr>
          <w:rFonts w:ascii="Palatino Linotype" w:hAnsi="Palatino Linotype"/>
        </w:rPr>
        <w:t>Targeted Case Management</w:t>
      </w:r>
      <w:r w:rsidR="00693E78" w:rsidRPr="00AF5378">
        <w:rPr>
          <w:rFonts w:ascii="Palatino Linotype" w:hAnsi="Palatino Linotype"/>
        </w:rPr>
        <w:t xml:space="preserve">, </w:t>
      </w:r>
      <w:r w:rsidR="00116402" w:rsidRPr="00AF5378">
        <w:rPr>
          <w:rFonts w:ascii="Palatino Linotype" w:hAnsi="Palatino Linotype"/>
        </w:rPr>
        <w:t>C</w:t>
      </w:r>
      <w:r w:rsidR="00693E78" w:rsidRPr="00AF5378">
        <w:rPr>
          <w:rFonts w:ascii="Palatino Linotype" w:hAnsi="Palatino Linotype"/>
        </w:rPr>
        <w:t xml:space="preserve">risis </w:t>
      </w:r>
      <w:r w:rsidR="00116402" w:rsidRPr="00AF5378">
        <w:rPr>
          <w:rFonts w:ascii="Palatino Linotype" w:hAnsi="Palatino Linotype"/>
        </w:rPr>
        <w:t>I</w:t>
      </w:r>
      <w:r w:rsidR="00693E78" w:rsidRPr="00AF5378">
        <w:rPr>
          <w:rFonts w:ascii="Palatino Linotype" w:hAnsi="Palatino Linotype"/>
        </w:rPr>
        <w:t xml:space="preserve">ntervention, Intensive Care Coordination (ICC), Intensive Home-Based Services (IHBS) and Therapeutic Behavioral Services (TBS). </w:t>
      </w:r>
      <w:r w:rsidR="001A5D75" w:rsidRPr="00AF5378">
        <w:rPr>
          <w:rFonts w:ascii="Palatino Linotype" w:hAnsi="Palatino Linotype"/>
        </w:rPr>
        <w:t>SMHS</w:t>
      </w:r>
      <w:r w:rsidR="00FF5803" w:rsidRPr="00AF5378">
        <w:rPr>
          <w:rFonts w:ascii="Palatino Linotype" w:hAnsi="Palatino Linotype"/>
        </w:rPr>
        <w:t xml:space="preserve"> are provided to Medi-Cal beneficiaries through County Mental Health Plans (MHPs). </w:t>
      </w:r>
      <w:r w:rsidR="007A7679" w:rsidRPr="00AF5378">
        <w:rPr>
          <w:rFonts w:ascii="Palatino Linotype" w:hAnsi="Palatino Linotype"/>
        </w:rPr>
        <w:t>All</w:t>
      </w:r>
      <w:r w:rsidR="00FF5803" w:rsidRPr="00AF5378">
        <w:rPr>
          <w:rFonts w:ascii="Palatino Linotype" w:hAnsi="Palatino Linotype"/>
        </w:rPr>
        <w:t xml:space="preserve"> the MHPs are part of county mental health or behavioral health departments</w:t>
      </w:r>
      <w:r w:rsidR="000C12AD" w:rsidRPr="00AF5378">
        <w:rPr>
          <w:rFonts w:ascii="Palatino Linotype" w:hAnsi="Palatino Linotype"/>
        </w:rPr>
        <w:t xml:space="preserve"> and t</w:t>
      </w:r>
      <w:r w:rsidR="00FF5803" w:rsidRPr="00AF5378">
        <w:rPr>
          <w:rFonts w:ascii="Palatino Linotype" w:hAnsi="Palatino Linotype"/>
        </w:rPr>
        <w:t>he MHP can provide services through its own employees or through contract providers</w:t>
      </w:r>
      <w:r w:rsidR="008C44D1" w:rsidRPr="00AF5378">
        <w:rPr>
          <w:rFonts w:ascii="Palatino Linotype" w:hAnsi="Palatino Linotype"/>
        </w:rPr>
        <w:t xml:space="preserve">. </w:t>
      </w:r>
    </w:p>
    <w:p w14:paraId="67CD0036" w14:textId="77777777" w:rsidR="00B13614" w:rsidRPr="00AF5378" w:rsidRDefault="00B13614" w:rsidP="006E3AC7">
      <w:pPr>
        <w:pStyle w:val="NoSpacing"/>
        <w:rPr>
          <w:rFonts w:ascii="Palatino Linotype" w:hAnsi="Palatino Linotype"/>
          <w:b/>
          <w:bCs/>
          <w:sz w:val="24"/>
          <w:szCs w:val="24"/>
          <w:u w:val="single"/>
        </w:rPr>
      </w:pPr>
    </w:p>
    <w:p w14:paraId="6A999774" w14:textId="77777777" w:rsidR="00B13614" w:rsidRPr="00AF5378" w:rsidRDefault="00B13614" w:rsidP="006E3AC7">
      <w:pPr>
        <w:pStyle w:val="NoSpacing"/>
        <w:rPr>
          <w:rFonts w:ascii="Palatino Linotype" w:hAnsi="Palatino Linotype"/>
          <w:b/>
          <w:bCs/>
          <w:sz w:val="24"/>
          <w:szCs w:val="24"/>
          <w:u w:val="single"/>
        </w:rPr>
      </w:pPr>
    </w:p>
    <w:p w14:paraId="3404F5B5" w14:textId="77777777" w:rsidR="00B13614" w:rsidRPr="00AF5378" w:rsidRDefault="00B13614" w:rsidP="006E3AC7">
      <w:pPr>
        <w:pStyle w:val="NoSpacing"/>
        <w:rPr>
          <w:rFonts w:ascii="Palatino Linotype" w:hAnsi="Palatino Linotype"/>
          <w:b/>
          <w:bCs/>
          <w:sz w:val="24"/>
          <w:szCs w:val="24"/>
          <w:u w:val="single"/>
        </w:rPr>
      </w:pPr>
    </w:p>
    <w:p w14:paraId="519F19B6" w14:textId="21542465" w:rsidR="006E3AC7" w:rsidRPr="00AF5378" w:rsidRDefault="006E3AC7" w:rsidP="006E3AC7">
      <w:pPr>
        <w:pStyle w:val="NoSpacing"/>
        <w:rPr>
          <w:rFonts w:ascii="Palatino Linotype" w:hAnsi="Palatino Linotype"/>
          <w:b/>
          <w:bCs/>
          <w:sz w:val="24"/>
          <w:szCs w:val="24"/>
          <w:u w:val="single"/>
        </w:rPr>
      </w:pPr>
      <w:r w:rsidRPr="00AF5378">
        <w:rPr>
          <w:rFonts w:ascii="Palatino Linotype" w:hAnsi="Palatino Linotype"/>
          <w:b/>
          <w:bCs/>
          <w:sz w:val="24"/>
          <w:szCs w:val="24"/>
          <w:u w:val="single"/>
        </w:rPr>
        <w:lastRenderedPageBreak/>
        <w:t>FORMS</w:t>
      </w:r>
      <w:r w:rsidR="00405DAA" w:rsidRPr="00AF5378">
        <w:rPr>
          <w:rFonts w:ascii="Palatino Linotype" w:hAnsi="Palatino Linotype"/>
          <w:b/>
          <w:bCs/>
          <w:sz w:val="24"/>
          <w:szCs w:val="24"/>
          <w:u w:val="single"/>
        </w:rPr>
        <w:t>/ATTACHMENTS</w:t>
      </w:r>
    </w:p>
    <w:p w14:paraId="20CED91D" w14:textId="3A6BF2EB" w:rsidR="00D176BA" w:rsidRPr="00AF5378" w:rsidRDefault="00D176BA" w:rsidP="006E3AC7">
      <w:pPr>
        <w:pStyle w:val="NoSpacing"/>
        <w:rPr>
          <w:rFonts w:ascii="Palatino Linotype" w:hAnsi="Palatino Linotype"/>
          <w:b/>
          <w:bCs/>
          <w:sz w:val="24"/>
          <w:szCs w:val="24"/>
          <w:u w:val="single"/>
        </w:rPr>
      </w:pPr>
    </w:p>
    <w:p w14:paraId="5A5302DA" w14:textId="11113BA9" w:rsidR="00D176BA" w:rsidRPr="00AF5378" w:rsidRDefault="00D176BA" w:rsidP="006E3AC7">
      <w:pPr>
        <w:pStyle w:val="NoSpacing"/>
        <w:rPr>
          <w:rFonts w:ascii="Palatino Linotype" w:hAnsi="Palatino Linotype"/>
          <w:sz w:val="24"/>
          <w:szCs w:val="24"/>
        </w:rPr>
      </w:pPr>
      <w:r w:rsidRPr="00AF5378">
        <w:rPr>
          <w:rFonts w:ascii="Palatino Linotype" w:hAnsi="Palatino Linotype"/>
          <w:sz w:val="24"/>
          <w:szCs w:val="24"/>
        </w:rPr>
        <w:t>None</w:t>
      </w:r>
    </w:p>
    <w:p w14:paraId="678AD49C" w14:textId="540B58F6" w:rsidR="006E3AC7" w:rsidRPr="00AF5378" w:rsidRDefault="006E3AC7" w:rsidP="006E3AC7">
      <w:pPr>
        <w:pStyle w:val="NoSpacing"/>
        <w:rPr>
          <w:rFonts w:ascii="Palatino Linotype" w:hAnsi="Palatino Linotype"/>
          <w:b/>
          <w:bCs/>
          <w:sz w:val="24"/>
          <w:szCs w:val="24"/>
          <w:u w:val="single"/>
        </w:rPr>
      </w:pPr>
    </w:p>
    <w:p w14:paraId="2080DE8D" w14:textId="3BEDEE7C" w:rsidR="006E3AC7" w:rsidRPr="00AF5378" w:rsidRDefault="006E3AC7" w:rsidP="006E3AC7">
      <w:pPr>
        <w:pStyle w:val="NoSpacing"/>
        <w:rPr>
          <w:rFonts w:ascii="Palatino Linotype" w:hAnsi="Palatino Linotype"/>
          <w:b/>
          <w:bCs/>
          <w:sz w:val="24"/>
          <w:szCs w:val="24"/>
          <w:u w:val="single"/>
        </w:rPr>
      </w:pPr>
      <w:r w:rsidRPr="00AF5378">
        <w:rPr>
          <w:rFonts w:ascii="Palatino Linotype" w:hAnsi="Palatino Linotype"/>
          <w:b/>
          <w:bCs/>
          <w:sz w:val="24"/>
          <w:szCs w:val="24"/>
          <w:u w:val="single"/>
        </w:rPr>
        <w:t>REVISION HISTORY</w:t>
      </w:r>
    </w:p>
    <w:p w14:paraId="335EFCEE" w14:textId="77777777" w:rsidR="00F959C7" w:rsidRPr="00AF5378" w:rsidRDefault="00F959C7" w:rsidP="00F959C7">
      <w:pPr>
        <w:pStyle w:val="Default"/>
        <w:ind w:left="720"/>
        <w:rPr>
          <w:rFonts w:ascii="Palatino Linotype" w:hAnsi="Palatino Linotype"/>
          <w:b/>
          <w:bCs/>
          <w:u w:val="single"/>
        </w:rPr>
      </w:pPr>
    </w:p>
    <w:p w14:paraId="212B3EE8" w14:textId="476AA9FF" w:rsidR="006E3AC7" w:rsidRPr="00895ECA" w:rsidRDefault="00D176BA">
      <w:pPr>
        <w:pStyle w:val="Default"/>
        <w:rPr>
          <w:rFonts w:ascii="Palatino Linotype" w:hAnsi="Palatino Linotype"/>
        </w:rPr>
      </w:pPr>
      <w:r w:rsidRPr="00AF5378">
        <w:rPr>
          <w:rFonts w:ascii="Palatino Linotype" w:hAnsi="Palatino Linotype"/>
        </w:rPr>
        <w:t>N/A (First Version)</w:t>
      </w:r>
    </w:p>
    <w:sectPr w:rsidR="006E3AC7" w:rsidRPr="00895EC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7B27" w14:textId="77777777" w:rsidR="00C97611" w:rsidRDefault="00C97611" w:rsidP="006E113E">
      <w:pPr>
        <w:spacing w:after="0" w:line="240" w:lineRule="auto"/>
      </w:pPr>
      <w:r>
        <w:separator/>
      </w:r>
    </w:p>
  </w:endnote>
  <w:endnote w:type="continuationSeparator" w:id="0">
    <w:p w14:paraId="7F002252" w14:textId="77777777" w:rsidR="00C97611" w:rsidRDefault="00C97611" w:rsidP="006E113E">
      <w:pPr>
        <w:spacing w:after="0" w:line="240" w:lineRule="auto"/>
      </w:pPr>
      <w:r>
        <w:continuationSeparator/>
      </w:r>
    </w:p>
  </w:endnote>
  <w:endnote w:type="continuationNotice" w:id="1">
    <w:p w14:paraId="6447639B" w14:textId="77777777" w:rsidR="00C97611" w:rsidRDefault="00C97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61546"/>
      <w:docPartObj>
        <w:docPartGallery w:val="Page Numbers (Bottom of Page)"/>
        <w:docPartUnique/>
      </w:docPartObj>
    </w:sdtPr>
    <w:sdtEndPr>
      <w:rPr>
        <w:noProof/>
      </w:rPr>
    </w:sdtEndPr>
    <w:sdtContent>
      <w:p w14:paraId="596B75DA" w14:textId="13432B5D" w:rsidR="002D0B04" w:rsidRDefault="002D0B04">
        <w:pPr>
          <w:pStyle w:val="Footer"/>
          <w:jc w:val="center"/>
        </w:pPr>
        <w:r w:rsidRPr="00AD225A">
          <w:rPr>
            <w:rFonts w:ascii="Palatino Linotype" w:hAnsi="Palatino Linotype"/>
            <w:sz w:val="24"/>
            <w:szCs w:val="24"/>
          </w:rPr>
          <w:fldChar w:fldCharType="begin"/>
        </w:r>
        <w:r w:rsidRPr="00AD225A">
          <w:rPr>
            <w:rFonts w:ascii="Palatino Linotype" w:hAnsi="Palatino Linotype"/>
            <w:sz w:val="24"/>
            <w:szCs w:val="24"/>
          </w:rPr>
          <w:instrText xml:space="preserve"> PAGE   \* MERGEFORMAT </w:instrText>
        </w:r>
        <w:r w:rsidRPr="00AD225A">
          <w:rPr>
            <w:rFonts w:ascii="Palatino Linotype" w:hAnsi="Palatino Linotype"/>
            <w:sz w:val="24"/>
            <w:szCs w:val="24"/>
          </w:rPr>
          <w:fldChar w:fldCharType="separate"/>
        </w:r>
        <w:r w:rsidRPr="00AD225A">
          <w:rPr>
            <w:rFonts w:ascii="Palatino Linotype" w:hAnsi="Palatino Linotype"/>
            <w:noProof/>
            <w:sz w:val="24"/>
            <w:szCs w:val="24"/>
          </w:rPr>
          <w:t>2</w:t>
        </w:r>
        <w:r w:rsidRPr="00AD225A">
          <w:rPr>
            <w:rFonts w:ascii="Palatino Linotype" w:hAnsi="Palatino Linotype"/>
            <w:noProof/>
            <w:sz w:val="24"/>
            <w:szCs w:val="24"/>
          </w:rPr>
          <w:fldChar w:fldCharType="end"/>
        </w:r>
      </w:p>
    </w:sdtContent>
  </w:sdt>
  <w:p w14:paraId="596C7316" w14:textId="77777777" w:rsidR="002D0B04" w:rsidRDefault="002D0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FB4F" w14:textId="77777777" w:rsidR="00C97611" w:rsidRDefault="00C97611" w:rsidP="006E113E">
      <w:pPr>
        <w:spacing w:after="0" w:line="240" w:lineRule="auto"/>
      </w:pPr>
      <w:r>
        <w:separator/>
      </w:r>
    </w:p>
  </w:footnote>
  <w:footnote w:type="continuationSeparator" w:id="0">
    <w:p w14:paraId="7E1A84DF" w14:textId="77777777" w:rsidR="00C97611" w:rsidRDefault="00C97611" w:rsidP="006E113E">
      <w:pPr>
        <w:spacing w:after="0" w:line="240" w:lineRule="auto"/>
      </w:pPr>
      <w:r>
        <w:continuationSeparator/>
      </w:r>
    </w:p>
  </w:footnote>
  <w:footnote w:type="continuationNotice" w:id="1">
    <w:p w14:paraId="6F6A6620" w14:textId="77777777" w:rsidR="00C97611" w:rsidRDefault="00C97611">
      <w:pPr>
        <w:spacing w:after="0" w:line="240" w:lineRule="auto"/>
      </w:pPr>
    </w:p>
  </w:footnote>
  <w:footnote w:id="2">
    <w:p w14:paraId="077E9985" w14:textId="7107DE9B" w:rsidR="00CE530B" w:rsidRPr="00CE530B" w:rsidRDefault="0071024A" w:rsidP="00CE530B">
      <w:pPr>
        <w:pStyle w:val="FootnoteText"/>
        <w:rPr>
          <w:rFonts w:ascii="Palatino Linotype" w:hAnsi="Palatino Linotype"/>
        </w:rPr>
      </w:pPr>
      <w:r w:rsidRPr="00CE530B">
        <w:rPr>
          <w:rStyle w:val="FootnoteReference"/>
          <w:rFonts w:ascii="Palatino Linotype" w:hAnsi="Palatino Linotype"/>
        </w:rPr>
        <w:footnoteRef/>
      </w:r>
      <w:r w:rsidR="00CE530B">
        <w:rPr>
          <w:rFonts w:ascii="Palatino Linotype" w:hAnsi="Palatino Linotype"/>
        </w:rPr>
        <w:t xml:space="preserve"> </w:t>
      </w:r>
      <w:r w:rsidR="00CE530B" w:rsidRPr="00CE530B">
        <w:rPr>
          <w:rFonts w:ascii="Palatino Linotype" w:hAnsi="Palatino Linotype"/>
        </w:rPr>
        <w:t>The CCR medical necessity regulations superseded by this BHIN combine criteria for access to SMHS</w:t>
      </w:r>
    </w:p>
    <w:p w14:paraId="1ED42E7A" w14:textId="77777777" w:rsidR="00CE530B" w:rsidRPr="00CE530B" w:rsidRDefault="00CE530B" w:rsidP="00CE530B">
      <w:pPr>
        <w:pStyle w:val="FootnoteText"/>
        <w:rPr>
          <w:rFonts w:ascii="Palatino Linotype" w:hAnsi="Palatino Linotype"/>
        </w:rPr>
      </w:pPr>
      <w:r w:rsidRPr="00CE530B">
        <w:rPr>
          <w:rFonts w:ascii="Palatino Linotype" w:hAnsi="Palatino Linotype"/>
        </w:rPr>
        <w:t>and medical necessity for specific services. Under this BHIN, access criteria and medical necessity</w:t>
      </w:r>
    </w:p>
    <w:p w14:paraId="555D1E60" w14:textId="4D07C9C6" w:rsidR="0071024A" w:rsidRDefault="00CE530B" w:rsidP="00CE530B">
      <w:pPr>
        <w:pStyle w:val="FootnoteText"/>
      </w:pPr>
      <w:r w:rsidRPr="00CE530B">
        <w:rPr>
          <w:rFonts w:ascii="Palatino Linotype" w:hAnsi="Palatino Linotype"/>
        </w:rPr>
        <w:t>criteria are separated and redefined.</w:t>
      </w:r>
    </w:p>
  </w:footnote>
  <w:footnote w:id="3">
    <w:p w14:paraId="5113127F" w14:textId="3FD15417" w:rsidR="002D0A28" w:rsidRDefault="002D0A28">
      <w:pPr>
        <w:pStyle w:val="FootnoteText"/>
        <w:rPr>
          <w:rFonts w:ascii="Palatino Linotype" w:hAnsi="Palatino Linotype"/>
        </w:rPr>
      </w:pPr>
      <w:r w:rsidRPr="002D0A28">
        <w:rPr>
          <w:rStyle w:val="FootnoteReference"/>
          <w:rFonts w:ascii="Palatino Linotype" w:hAnsi="Palatino Linotype"/>
        </w:rPr>
        <w:footnoteRef/>
      </w:r>
      <w:r w:rsidRPr="002D0A28">
        <w:rPr>
          <w:rFonts w:ascii="Palatino Linotype" w:hAnsi="Palatino Linotype"/>
        </w:rPr>
        <w:t xml:space="preserve"> 42 C.F.R. §§ 456.5 and 440.230 (b)</w:t>
      </w:r>
    </w:p>
    <w:p w14:paraId="2BC115B2" w14:textId="77777777" w:rsidR="002D0A28" w:rsidRPr="002D0A28" w:rsidRDefault="002D0A28">
      <w:pPr>
        <w:pStyle w:val="FootnoteText"/>
        <w:rPr>
          <w:rFonts w:ascii="Palatino Linotype" w:hAnsi="Palatino Linotype"/>
        </w:rPr>
      </w:pPr>
    </w:p>
  </w:footnote>
  <w:footnote w:id="4">
    <w:p w14:paraId="6030A4A2" w14:textId="77777777" w:rsidR="00B00289" w:rsidRPr="00B00289" w:rsidRDefault="0055257D" w:rsidP="00B00289">
      <w:pPr>
        <w:pStyle w:val="FootnoteText"/>
        <w:rPr>
          <w:rFonts w:ascii="Palatino Linotype" w:hAnsi="Palatino Linotype"/>
        </w:rPr>
      </w:pPr>
      <w:r w:rsidRPr="00B00289">
        <w:rPr>
          <w:rStyle w:val="FootnoteReference"/>
          <w:rFonts w:ascii="Palatino Linotype" w:hAnsi="Palatino Linotype"/>
        </w:rPr>
        <w:footnoteRef/>
      </w:r>
      <w:r w:rsidRPr="00B00289">
        <w:rPr>
          <w:rFonts w:ascii="Palatino Linotype" w:hAnsi="Palatino Linotype"/>
        </w:rPr>
        <w:t xml:space="preserve"> </w:t>
      </w:r>
      <w:r w:rsidR="00B00289" w:rsidRPr="00B00289">
        <w:rPr>
          <w:rFonts w:ascii="Palatino Linotype" w:hAnsi="Palatino Linotype"/>
        </w:rPr>
        <w:t xml:space="preserve"> A neurocognitive disorder (e.g., dementia) or a substance-related and addictive disorder (e.g., stimulant </w:t>
      </w:r>
    </w:p>
    <w:p w14:paraId="4528B1EC" w14:textId="77777777" w:rsidR="00B00289" w:rsidRPr="00B00289" w:rsidRDefault="00B00289" w:rsidP="00B00289">
      <w:pPr>
        <w:pStyle w:val="FootnoteText"/>
        <w:rPr>
          <w:rFonts w:ascii="Palatino Linotype" w:hAnsi="Palatino Linotype"/>
        </w:rPr>
      </w:pPr>
      <w:r w:rsidRPr="00B00289">
        <w:rPr>
          <w:rFonts w:ascii="Palatino Linotype" w:hAnsi="Palatino Linotype"/>
        </w:rPr>
        <w:t>use disorder) are not “mental health disorders” for the purpose of determining whether a beneficiary</w:t>
      </w:r>
    </w:p>
    <w:p w14:paraId="453E77C3" w14:textId="77777777" w:rsidR="00B00289" w:rsidRPr="00B00289" w:rsidRDefault="00B00289" w:rsidP="00B00289">
      <w:pPr>
        <w:pStyle w:val="FootnoteText"/>
        <w:rPr>
          <w:rFonts w:ascii="Palatino Linotype" w:hAnsi="Palatino Linotype"/>
        </w:rPr>
      </w:pPr>
      <w:r w:rsidRPr="00B00289">
        <w:rPr>
          <w:rFonts w:ascii="Palatino Linotype" w:hAnsi="Palatino Linotype"/>
        </w:rPr>
        <w:t xml:space="preserve">meets criteria for access to the SMHS delivery system. However, MHPs must cover SMHS for </w:t>
      </w:r>
    </w:p>
    <w:p w14:paraId="08854331" w14:textId="77777777" w:rsidR="00B00289" w:rsidRPr="00B00289" w:rsidRDefault="00B00289" w:rsidP="00B00289">
      <w:pPr>
        <w:pStyle w:val="FootnoteText"/>
        <w:rPr>
          <w:rFonts w:ascii="Palatino Linotype" w:hAnsi="Palatino Linotype"/>
        </w:rPr>
      </w:pPr>
      <w:r w:rsidRPr="00B00289">
        <w:rPr>
          <w:rFonts w:ascii="Palatino Linotype" w:hAnsi="Palatino Linotype"/>
        </w:rPr>
        <w:t>beneficiaries with any of these disorders if they also have a mental health disorder (or suspected mental</w:t>
      </w:r>
    </w:p>
    <w:p w14:paraId="728D3F22" w14:textId="7B6F6FFC" w:rsidR="0055257D" w:rsidRDefault="00B00289" w:rsidP="00B00289">
      <w:pPr>
        <w:pStyle w:val="FootnoteText"/>
      </w:pPr>
      <w:r w:rsidRPr="00B00289">
        <w:rPr>
          <w:rFonts w:ascii="Palatino Linotype" w:hAnsi="Palatino Linotype"/>
        </w:rPr>
        <w:t>health disorder not yet diagnosed) and meet criteria for SMHS as described above.</w:t>
      </w:r>
    </w:p>
  </w:footnote>
  <w:footnote w:id="5">
    <w:p w14:paraId="0FE8E509" w14:textId="2828D0B4" w:rsidR="00476F2B" w:rsidRPr="005525A7" w:rsidRDefault="00476F2B" w:rsidP="00476F2B">
      <w:pPr>
        <w:pStyle w:val="FootnoteText"/>
        <w:rPr>
          <w:rFonts w:ascii="Palatino Linotype" w:hAnsi="Palatino Linotype"/>
        </w:rPr>
      </w:pPr>
      <w:r w:rsidRPr="0076043D">
        <w:rPr>
          <w:rStyle w:val="FootnoteReference"/>
          <w:rFonts w:ascii="Palatino Linotype" w:hAnsi="Palatino Linotype"/>
        </w:rPr>
        <w:footnoteRef/>
      </w:r>
      <w:r w:rsidRPr="0076043D">
        <w:rPr>
          <w:rFonts w:ascii="Palatino Linotype" w:hAnsi="Palatino Linotype"/>
        </w:rPr>
        <w:t xml:space="preserve">  MHPs are not required to implement </w:t>
      </w:r>
      <w:r w:rsidR="00A07AF7">
        <w:rPr>
          <w:rFonts w:ascii="Palatino Linotype" w:hAnsi="Palatino Linotype"/>
        </w:rPr>
        <w:t xml:space="preserve">a trauma screening </w:t>
      </w:r>
      <w:r w:rsidR="00A07AF7" w:rsidRPr="0076043D">
        <w:rPr>
          <w:rFonts w:ascii="Palatino Linotype" w:hAnsi="Palatino Linotype"/>
        </w:rPr>
        <w:t>tool</w:t>
      </w:r>
      <w:r w:rsidRPr="0076043D">
        <w:rPr>
          <w:rFonts w:ascii="Palatino Linotype" w:hAnsi="Palatino Linotype"/>
        </w:rPr>
        <w:t xml:space="preserve"> until DHCS</w:t>
      </w:r>
      <w:r w:rsidR="00764D60" w:rsidRPr="0076043D">
        <w:rPr>
          <w:rFonts w:ascii="Palatino Linotype" w:hAnsi="Palatino Linotype"/>
        </w:rPr>
        <w:t xml:space="preserve"> </w:t>
      </w:r>
      <w:r w:rsidRPr="0076043D">
        <w:rPr>
          <w:rFonts w:ascii="Palatino Linotype" w:hAnsi="Palatino Linotype"/>
        </w:rPr>
        <w:t>issues additional guidance regarding approved tool(s) for the purposes of SMHS</w:t>
      </w:r>
      <w:r w:rsidR="00764D60" w:rsidRPr="0076043D">
        <w:rPr>
          <w:rFonts w:ascii="Palatino Linotype" w:hAnsi="Palatino Linotype"/>
        </w:rPr>
        <w:t xml:space="preserve"> </w:t>
      </w:r>
      <w:r w:rsidRPr="0076043D">
        <w:rPr>
          <w:rFonts w:ascii="Palatino Linotype" w:hAnsi="Palatino Linotype"/>
        </w:rPr>
        <w:t>access criteria.</w:t>
      </w:r>
    </w:p>
  </w:footnote>
  <w:footnote w:id="6">
    <w:p w14:paraId="1558C6A4" w14:textId="77777777" w:rsidR="000C2F2A" w:rsidRPr="00DA21B6" w:rsidRDefault="007E2286" w:rsidP="000C2F2A">
      <w:pPr>
        <w:pStyle w:val="FootnoteText"/>
        <w:rPr>
          <w:rFonts w:ascii="Palatino Linotype" w:hAnsi="Palatino Linotype"/>
        </w:rPr>
      </w:pPr>
      <w:r w:rsidRPr="00DA21B6">
        <w:rPr>
          <w:rStyle w:val="FootnoteReference"/>
          <w:rFonts w:ascii="Palatino Linotype" w:hAnsi="Palatino Linotype"/>
        </w:rPr>
        <w:footnoteRef/>
      </w:r>
      <w:r w:rsidRPr="00DA21B6">
        <w:rPr>
          <w:rFonts w:ascii="Palatino Linotype" w:hAnsi="Palatino Linotype"/>
        </w:rPr>
        <w:t xml:space="preserve"> </w:t>
      </w:r>
      <w:r w:rsidR="000C2F2A" w:rsidRPr="00DA21B6">
        <w:rPr>
          <w:rFonts w:ascii="Palatino Linotype" w:hAnsi="Palatino Linotype"/>
        </w:rPr>
        <w:t xml:space="preserve">A neurocognitive disorder (e.g., dementia) or a substance-related and addictive disorder (e.g., stimulant </w:t>
      </w:r>
    </w:p>
    <w:p w14:paraId="09C92E2A" w14:textId="77777777" w:rsidR="000C2F2A" w:rsidRPr="00DA21B6" w:rsidRDefault="000C2F2A" w:rsidP="000C2F2A">
      <w:pPr>
        <w:pStyle w:val="FootnoteText"/>
        <w:rPr>
          <w:rFonts w:ascii="Palatino Linotype" w:hAnsi="Palatino Linotype"/>
        </w:rPr>
      </w:pPr>
      <w:r w:rsidRPr="00DA21B6">
        <w:rPr>
          <w:rFonts w:ascii="Palatino Linotype" w:hAnsi="Palatino Linotype"/>
        </w:rPr>
        <w:t>use disorder) are not “mental health disorders” for the purpose of determining whether a beneficiary</w:t>
      </w:r>
    </w:p>
    <w:p w14:paraId="05FCB7A9" w14:textId="77777777" w:rsidR="000C2F2A" w:rsidRPr="00DA21B6" w:rsidRDefault="000C2F2A" w:rsidP="000C2F2A">
      <w:pPr>
        <w:pStyle w:val="FootnoteText"/>
        <w:rPr>
          <w:rFonts w:ascii="Palatino Linotype" w:hAnsi="Palatino Linotype"/>
        </w:rPr>
      </w:pPr>
      <w:r w:rsidRPr="00DA21B6">
        <w:rPr>
          <w:rFonts w:ascii="Palatino Linotype" w:hAnsi="Palatino Linotype"/>
        </w:rPr>
        <w:t xml:space="preserve">meets criteria for access to the SMHS delivery system. However, MHPs must cover SMHS for </w:t>
      </w:r>
    </w:p>
    <w:p w14:paraId="4B1E7CED" w14:textId="77777777" w:rsidR="000C2F2A" w:rsidRPr="00DA21B6" w:rsidRDefault="000C2F2A" w:rsidP="000C2F2A">
      <w:pPr>
        <w:pStyle w:val="FootnoteText"/>
        <w:rPr>
          <w:rFonts w:ascii="Palatino Linotype" w:hAnsi="Palatino Linotype"/>
        </w:rPr>
      </w:pPr>
      <w:r w:rsidRPr="00DA21B6">
        <w:rPr>
          <w:rFonts w:ascii="Palatino Linotype" w:hAnsi="Palatino Linotype"/>
        </w:rPr>
        <w:t>beneficiaries with any of these disorders if they also have a mental health disorder (or suspected mental</w:t>
      </w:r>
    </w:p>
    <w:p w14:paraId="70DE0427" w14:textId="6BAB6237" w:rsidR="007E2286" w:rsidRDefault="000C2F2A" w:rsidP="000C2F2A">
      <w:pPr>
        <w:pStyle w:val="FootnoteText"/>
      </w:pPr>
      <w:r w:rsidRPr="00DA21B6">
        <w:rPr>
          <w:rFonts w:ascii="Palatino Linotype" w:hAnsi="Palatino Linotype"/>
        </w:rPr>
        <w:t>health disorders not yet diagnosed) and meet criteria for SMHS as described above.</w:t>
      </w:r>
    </w:p>
  </w:footnote>
  <w:footnote w:id="7">
    <w:p w14:paraId="04B4A471" w14:textId="5C19DA35" w:rsidR="000C2F2A" w:rsidRPr="00FE4B7E" w:rsidRDefault="000C2F2A">
      <w:pPr>
        <w:pStyle w:val="FootnoteText"/>
        <w:rPr>
          <w:rFonts w:ascii="Palatino Linotype" w:hAnsi="Palatino Linotype"/>
        </w:rPr>
      </w:pPr>
      <w:r w:rsidRPr="00FE4B7E">
        <w:rPr>
          <w:rStyle w:val="FootnoteReference"/>
          <w:rFonts w:ascii="Palatino Linotype" w:hAnsi="Palatino Linotype"/>
        </w:rPr>
        <w:footnoteRef/>
      </w:r>
      <w:r w:rsidRPr="00FE4B7E">
        <w:rPr>
          <w:rFonts w:ascii="Palatino Linotype" w:hAnsi="Palatino Linotype"/>
        </w:rPr>
        <w:t xml:space="preserve"> </w:t>
      </w:r>
      <w:r w:rsidR="00563A2C" w:rsidRPr="00FE4B7E">
        <w:rPr>
          <w:rFonts w:ascii="Palatino Linotype" w:hAnsi="Palatino Linotype"/>
        </w:rPr>
        <w:t>Welf. &amp; Inst. Code, § 14184.402(d)</w:t>
      </w:r>
    </w:p>
  </w:footnote>
  <w:footnote w:id="8">
    <w:p w14:paraId="04CA6D04" w14:textId="77777777" w:rsidR="00632EBF" w:rsidRPr="00FE4B7E" w:rsidRDefault="00F852C7" w:rsidP="00632EBF">
      <w:pPr>
        <w:pStyle w:val="FootnoteText"/>
        <w:rPr>
          <w:rFonts w:ascii="Palatino Linotype" w:hAnsi="Palatino Linotype"/>
        </w:rPr>
      </w:pPr>
      <w:r w:rsidRPr="00FE4B7E">
        <w:rPr>
          <w:rStyle w:val="FootnoteReference"/>
          <w:rFonts w:ascii="Palatino Linotype" w:hAnsi="Palatino Linotype"/>
        </w:rPr>
        <w:footnoteRef/>
      </w:r>
      <w:r w:rsidRPr="00FE4B7E">
        <w:rPr>
          <w:rFonts w:ascii="Palatino Linotype" w:hAnsi="Palatino Linotype"/>
        </w:rPr>
        <w:t xml:space="preserve"> </w:t>
      </w:r>
      <w:r w:rsidR="00632EBF" w:rsidRPr="00FE4B7E">
        <w:rPr>
          <w:rFonts w:ascii="Palatino Linotype" w:hAnsi="Palatino Linotype"/>
        </w:rPr>
        <w:t xml:space="preserve">Some SMHS may still require an individual plan of care, such as Targeted Case Management (42 </w:t>
      </w:r>
    </w:p>
    <w:p w14:paraId="4B9AF078" w14:textId="068BF4AE" w:rsidR="00F852C7" w:rsidRPr="00FE4B7E" w:rsidRDefault="00632EBF" w:rsidP="00632EBF">
      <w:pPr>
        <w:pStyle w:val="FootnoteText"/>
        <w:rPr>
          <w:rFonts w:ascii="Palatino Linotype" w:hAnsi="Palatino Linotype"/>
        </w:rPr>
      </w:pPr>
      <w:r w:rsidRPr="00FE4B7E">
        <w:rPr>
          <w:rFonts w:ascii="Palatino Linotype" w:hAnsi="Palatino Linotype"/>
        </w:rPr>
        <w:t>C.F.R. § 440.169.). DHCS will issue forthcoming guidance regarding documentation</w:t>
      </w:r>
      <w:r w:rsidR="004E3769">
        <w:rPr>
          <w:rFonts w:ascii="Palatino Linotype" w:hAnsi="Palatino Linotype"/>
        </w:rPr>
        <w:t>.</w:t>
      </w:r>
    </w:p>
  </w:footnote>
  <w:footnote w:id="9">
    <w:p w14:paraId="3D1EC573" w14:textId="77777777" w:rsidR="00FE4B7E" w:rsidRPr="00FE4B7E" w:rsidRDefault="00FE4B7E" w:rsidP="00FE4B7E">
      <w:pPr>
        <w:pStyle w:val="FootnoteText"/>
        <w:rPr>
          <w:rFonts w:ascii="Palatino Linotype" w:hAnsi="Palatino Linotype"/>
        </w:rPr>
      </w:pPr>
      <w:r w:rsidRPr="00FE4B7E">
        <w:rPr>
          <w:rStyle w:val="FootnoteReference"/>
          <w:rFonts w:ascii="Palatino Linotype" w:hAnsi="Palatino Linotype"/>
        </w:rPr>
        <w:footnoteRef/>
      </w:r>
      <w:r w:rsidRPr="00FE4B7E">
        <w:rPr>
          <w:rFonts w:ascii="Palatino Linotype" w:hAnsi="Palatino Linotype"/>
        </w:rPr>
        <w:t xml:space="preserve">  The ICD 10 Tabular (October 1st thru September 30th) at</w:t>
      </w:r>
    </w:p>
    <w:p w14:paraId="6FD792EC" w14:textId="3C03DAFB" w:rsidR="00FE4B7E" w:rsidRDefault="00EA5D7D" w:rsidP="00FE4B7E">
      <w:pPr>
        <w:pStyle w:val="FootnoteText"/>
      </w:pPr>
      <w:hyperlink r:id="rId1" w:history="1">
        <w:r w:rsidR="00FE4B7E" w:rsidRPr="00F40DB3">
          <w:rPr>
            <w:rStyle w:val="Hyperlink"/>
            <w:rFonts w:ascii="Palatino Linotype" w:hAnsi="Palatino Linotype"/>
          </w:rPr>
          <w:t>https://www.cms.gov/medicare/icd-10/2022-icd-10-cm</w:t>
        </w:r>
      </w:hyperlink>
      <w:r w:rsidR="00FE4B7E">
        <w:rPr>
          <w:rFonts w:ascii="Palatino Linotype" w:hAnsi="Palatino Linotype"/>
        </w:rPr>
        <w:t xml:space="preserve"> </w:t>
      </w:r>
    </w:p>
  </w:footnote>
  <w:footnote w:id="10">
    <w:p w14:paraId="6DB3335E" w14:textId="6AC4B3DA" w:rsidR="006D343B" w:rsidRPr="00C33B55" w:rsidRDefault="006D343B">
      <w:pPr>
        <w:pStyle w:val="FootnoteText"/>
        <w:rPr>
          <w:rFonts w:ascii="Palatino Linotype" w:hAnsi="Palatino Linotype"/>
        </w:rPr>
      </w:pPr>
      <w:r w:rsidRPr="00C33B55">
        <w:rPr>
          <w:rStyle w:val="FootnoteReference"/>
          <w:rFonts w:ascii="Palatino Linotype" w:hAnsi="Palatino Linotype"/>
        </w:rPr>
        <w:footnoteRef/>
      </w:r>
      <w:r w:rsidRPr="00C33B55">
        <w:rPr>
          <w:rFonts w:ascii="Palatino Linotype" w:hAnsi="Palatino Linotype"/>
        </w:rPr>
        <w:t xml:space="preserve"> </w:t>
      </w:r>
      <w:r w:rsidR="002861E9" w:rsidRPr="00C33B55">
        <w:rPr>
          <w:rFonts w:ascii="Palatino Linotype" w:hAnsi="Palatino Linotype"/>
        </w:rPr>
        <w:t>Welf. &amp; Inst. Code, § 14184.402(b)(1)</w:t>
      </w:r>
    </w:p>
  </w:footnote>
  <w:footnote w:id="11">
    <w:p w14:paraId="7D93F79E" w14:textId="05B8136E" w:rsidR="00C33B55" w:rsidRDefault="00C33B55">
      <w:pPr>
        <w:pStyle w:val="FootnoteText"/>
      </w:pPr>
      <w:r w:rsidRPr="00C33B55">
        <w:rPr>
          <w:rStyle w:val="FootnoteReference"/>
          <w:rFonts w:ascii="Palatino Linotype" w:hAnsi="Palatino Linotype"/>
        </w:rPr>
        <w:footnoteRef/>
      </w:r>
      <w:r w:rsidRPr="00C33B55">
        <w:rPr>
          <w:rFonts w:ascii="Palatino Linotype" w:hAnsi="Palatino Linotype"/>
        </w:rPr>
        <w:t xml:space="preserve"> Dyadic services will be provided effective 7/1/22.</w:t>
      </w:r>
    </w:p>
  </w:footnote>
  <w:footnote w:id="12">
    <w:p w14:paraId="0B27E1FD" w14:textId="5CC745D1" w:rsidR="000A7895" w:rsidRPr="000A7895" w:rsidRDefault="000A7895">
      <w:pPr>
        <w:pStyle w:val="FootnoteText"/>
        <w:rPr>
          <w:rFonts w:ascii="Palatino Linotype" w:hAnsi="Palatino Linotype"/>
        </w:rPr>
      </w:pPr>
      <w:r w:rsidRPr="000A7895">
        <w:rPr>
          <w:rStyle w:val="FootnoteReference"/>
          <w:rFonts w:ascii="Palatino Linotype" w:hAnsi="Palatino Linotype"/>
        </w:rPr>
        <w:footnoteRef/>
      </w:r>
      <w:r w:rsidRPr="000A7895">
        <w:rPr>
          <w:rFonts w:ascii="Palatino Linotype" w:hAnsi="Palatino Linotype"/>
        </w:rPr>
        <w:t xml:space="preserve">  Welf. &amp; Inst. Code, § 14184.402(b)(2)</w:t>
      </w:r>
    </w:p>
  </w:footnote>
  <w:footnote w:id="13">
    <w:p w14:paraId="612F55BD" w14:textId="7C322ACD" w:rsidR="003976F7" w:rsidRPr="008C0864" w:rsidRDefault="003976F7" w:rsidP="003976F7">
      <w:pPr>
        <w:pStyle w:val="FootnoteText"/>
        <w:rPr>
          <w:rFonts w:ascii="Palatino Linotype" w:hAnsi="Palatino Linotype"/>
        </w:rPr>
      </w:pPr>
      <w:r w:rsidRPr="00646FDD">
        <w:rPr>
          <w:rStyle w:val="FootnoteReference"/>
          <w:rFonts w:ascii="Palatino Linotype" w:hAnsi="Palatino Linotype"/>
        </w:rPr>
        <w:footnoteRef/>
      </w:r>
      <w:r w:rsidRPr="00646FDD">
        <w:rPr>
          <w:rFonts w:ascii="Palatino Linotype" w:hAnsi="Palatino Linotype"/>
        </w:rPr>
        <w:t xml:space="preserve">  A neurocognitive disorder (e.g., dementia) or a substance-related and addictive disorder (e.g., stimulant use disorder) are not “mental health disorders” for the purpose of determining whether a beneficiary</w:t>
      </w:r>
      <w:r w:rsidR="00D54D41">
        <w:rPr>
          <w:rFonts w:ascii="Palatino Linotype" w:hAnsi="Palatino Linotype"/>
        </w:rPr>
        <w:t xml:space="preserve"> </w:t>
      </w:r>
      <w:r w:rsidRPr="00020ECF">
        <w:rPr>
          <w:rFonts w:ascii="Palatino Linotype" w:hAnsi="Palatino Linotype"/>
        </w:rPr>
        <w:t>meets criteria for access to the NSMHS delivery system. However, MCPs must cover NSMHS for beneficiaries with any of these disorders if they also have a mental health disorder (or suspected mental</w:t>
      </w:r>
      <w:r w:rsidR="00D54D41">
        <w:rPr>
          <w:rFonts w:ascii="Palatino Linotype" w:hAnsi="Palatino Linotype"/>
        </w:rPr>
        <w:t xml:space="preserve"> </w:t>
      </w:r>
      <w:r w:rsidRPr="00020ECF">
        <w:rPr>
          <w:rFonts w:ascii="Palatino Linotype" w:hAnsi="Palatino Linotype"/>
        </w:rPr>
        <w:t>health disorders not yet diagnosed) and meet criteria for NSMHS as described above.</w:t>
      </w:r>
    </w:p>
  </w:footnote>
  <w:footnote w:id="14">
    <w:p w14:paraId="3F2E203F" w14:textId="7F91A6BD" w:rsidR="0015522B" w:rsidRPr="00A34E24" w:rsidRDefault="0015522B" w:rsidP="0015522B">
      <w:pPr>
        <w:pStyle w:val="FootnoteText"/>
        <w:rPr>
          <w:rFonts w:ascii="Palatino Linotype" w:hAnsi="Palatino Linotype"/>
        </w:rPr>
      </w:pPr>
      <w:r w:rsidRPr="00A34E24">
        <w:rPr>
          <w:rStyle w:val="FootnoteReference"/>
          <w:rFonts w:ascii="Palatino Linotype" w:hAnsi="Palatino Linotype"/>
        </w:rPr>
        <w:footnoteRef/>
      </w:r>
      <w:r w:rsidRPr="00A34E24">
        <w:rPr>
          <w:rFonts w:ascii="Palatino Linotype" w:hAnsi="Palatino Linotype"/>
        </w:rPr>
        <w:t xml:space="preserve">Available at: </w:t>
      </w:r>
      <w:hyperlink r:id="rId2" w:history="1">
        <w:r w:rsidRPr="00A34E24">
          <w:rPr>
            <w:rStyle w:val="Hyperlink"/>
            <w:rFonts w:ascii="Palatino Linotype" w:hAnsi="Palatino Linotype"/>
          </w:rPr>
          <w:t>https://nche.ed.gov/mckinney-vento-definition/</w:t>
        </w:r>
      </w:hyperlink>
      <w:r w:rsidRPr="00A34E24">
        <w:rPr>
          <w:rFonts w:ascii="Palatino Linotype" w:hAnsi="Palatino Linotype"/>
        </w:rPr>
        <w:t xml:space="preserve">. Full text of the Act is available here: </w:t>
      </w:r>
      <w:hyperlink r:id="rId3" w:history="1">
        <w:r w:rsidRPr="00A34E24">
          <w:rPr>
            <w:rStyle w:val="Hyperlink"/>
            <w:rFonts w:ascii="Palatino Linotype" w:hAnsi="Palatino Linotype"/>
          </w:rPr>
          <w:t>http://uscode.house.gov/view.xhtml?path=/prelim@title42/chapter119/subchapter6/partB&amp;edition=prelim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1DCF" w14:textId="398356BE" w:rsidR="00936D3E" w:rsidRPr="00AD225A" w:rsidRDefault="00936D3E">
    <w:pPr>
      <w:pStyle w:val="Header"/>
      <w:rPr>
        <w:rFonts w:ascii="Palatino Linotype" w:hAnsi="Palatino Linotype"/>
      </w:rPr>
    </w:pPr>
    <w:r w:rsidRPr="00AD225A">
      <w:rPr>
        <w:rFonts w:ascii="Palatino Linotype" w:hAnsi="Palatino Linotype"/>
      </w:rPr>
      <w:t>California Mental Health Services Authority (CalMHSA)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47E"/>
    <w:multiLevelType w:val="hybridMultilevel"/>
    <w:tmpl w:val="B93257E4"/>
    <w:lvl w:ilvl="0" w:tplc="FFFFFFFF">
      <w:start w:val="1"/>
      <w:numFmt w:val="decimal"/>
      <w:lvlText w:val="%1."/>
      <w:lvlJc w:val="left"/>
      <w:pPr>
        <w:ind w:left="720" w:hanging="360"/>
      </w:pPr>
      <w:rPr>
        <w:rFonts w:hint="default"/>
      </w:rPr>
    </w:lvl>
    <w:lvl w:ilvl="1" w:tplc="FFFFFFFF">
      <w:start w:val="1"/>
      <w:numFmt w:val="lowerLetter"/>
      <w:lvlText w:val="%2)"/>
      <w:lvlJc w:val="left"/>
      <w:pPr>
        <w:ind w:left="162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8626E8"/>
    <w:multiLevelType w:val="hybridMultilevel"/>
    <w:tmpl w:val="AC44558C"/>
    <w:lvl w:ilvl="0" w:tplc="0409000F">
      <w:start w:val="1"/>
      <w:numFmt w:val="decimal"/>
      <w:lvlText w:val="%1."/>
      <w:lvlJc w:val="left"/>
      <w:pPr>
        <w:ind w:left="360" w:hanging="360"/>
      </w:pPr>
      <w:rPr>
        <w:rFonts w:hint="default"/>
      </w:rPr>
    </w:lvl>
    <w:lvl w:ilvl="1" w:tplc="0409000F">
      <w:start w:val="1"/>
      <w:numFmt w:val="decimal"/>
      <w:lvlText w:val="%2."/>
      <w:lvlJc w:val="left"/>
      <w:pPr>
        <w:ind w:left="1620" w:hanging="360"/>
      </w:pPr>
    </w:lvl>
    <w:lvl w:ilvl="2" w:tplc="04090017">
      <w:start w:val="1"/>
      <w:numFmt w:val="lowerLetter"/>
      <w:lvlText w:val="%3)"/>
      <w:lvlJc w:val="left"/>
      <w:pPr>
        <w:ind w:left="1620" w:hanging="360"/>
      </w:pPr>
    </w:lvl>
    <w:lvl w:ilvl="3" w:tplc="FFFFFFFF">
      <w:start w:val="1"/>
      <w:numFmt w:val="lowerLetter"/>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B35111"/>
    <w:multiLevelType w:val="hybridMultilevel"/>
    <w:tmpl w:val="B93257E4"/>
    <w:lvl w:ilvl="0" w:tplc="0409000F">
      <w:start w:val="1"/>
      <w:numFmt w:val="decimal"/>
      <w:lvlText w:val="%1."/>
      <w:lvlJc w:val="left"/>
      <w:pPr>
        <w:ind w:left="720" w:hanging="360"/>
      </w:pPr>
      <w:rPr>
        <w:rFonts w:hint="default"/>
      </w:rPr>
    </w:lvl>
    <w:lvl w:ilvl="1" w:tplc="04090017">
      <w:start w:val="1"/>
      <w:numFmt w:val="lowerLetter"/>
      <w:lvlText w:val="%2)"/>
      <w:lvlJc w:val="left"/>
      <w:pPr>
        <w:ind w:left="162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E027CC"/>
    <w:multiLevelType w:val="hybridMultilevel"/>
    <w:tmpl w:val="78386B06"/>
    <w:lvl w:ilvl="0" w:tplc="FFFFFFFF">
      <w:start w:val="1"/>
      <w:numFmt w:val="decimal"/>
      <w:lvlText w:val="%1."/>
      <w:lvlJc w:val="left"/>
      <w:pPr>
        <w:ind w:left="720" w:hanging="360"/>
      </w:pPr>
      <w:rPr>
        <w:rFonts w:hint="default"/>
      </w:rPr>
    </w:lvl>
    <w:lvl w:ilvl="1" w:tplc="04090017">
      <w:start w:val="1"/>
      <w:numFmt w:val="lowerLetter"/>
      <w:lvlText w:val="%2)"/>
      <w:lvlJc w:val="left"/>
      <w:pPr>
        <w:ind w:left="162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307A1B"/>
    <w:multiLevelType w:val="hybridMultilevel"/>
    <w:tmpl w:val="C30062E4"/>
    <w:lvl w:ilvl="0" w:tplc="907AF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B2360"/>
    <w:multiLevelType w:val="hybridMultilevel"/>
    <w:tmpl w:val="9EE6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E4F64"/>
    <w:multiLevelType w:val="hybridMultilevel"/>
    <w:tmpl w:val="15B64F3C"/>
    <w:lvl w:ilvl="0" w:tplc="911413B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7">
      <w:start w:val="1"/>
      <w:numFmt w:val="lowerLetter"/>
      <w:lvlText w:val="%3)"/>
      <w:lvlJc w:val="left"/>
      <w:pPr>
        <w:ind w:left="1980" w:hanging="36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620BBF"/>
    <w:multiLevelType w:val="hybridMultilevel"/>
    <w:tmpl w:val="8F6A51F0"/>
    <w:lvl w:ilvl="0" w:tplc="DECE0A0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556E4"/>
    <w:multiLevelType w:val="hybridMultilevel"/>
    <w:tmpl w:val="11EE461C"/>
    <w:lvl w:ilvl="0" w:tplc="BE10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2595A"/>
    <w:multiLevelType w:val="hybridMultilevel"/>
    <w:tmpl w:val="4F70F1D6"/>
    <w:lvl w:ilvl="0" w:tplc="0409000F">
      <w:start w:val="1"/>
      <w:numFmt w:val="decimal"/>
      <w:lvlText w:val="%1."/>
      <w:lvlJc w:val="left"/>
      <w:pPr>
        <w:ind w:left="720" w:hanging="360"/>
      </w:pPr>
      <w:rPr>
        <w:rFonts w:hint="default"/>
      </w:rPr>
    </w:lvl>
    <w:lvl w:ilvl="1" w:tplc="04090017">
      <w:start w:val="1"/>
      <w:numFmt w:val="lowerLetter"/>
      <w:lvlText w:val="%2)"/>
      <w:lvlJc w:val="left"/>
      <w:pPr>
        <w:ind w:left="162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987045"/>
    <w:multiLevelType w:val="hybridMultilevel"/>
    <w:tmpl w:val="F14E03F0"/>
    <w:lvl w:ilvl="0" w:tplc="0409000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4E5F70"/>
    <w:multiLevelType w:val="hybridMultilevel"/>
    <w:tmpl w:val="1BBC5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B2B8E"/>
    <w:multiLevelType w:val="hybridMultilevel"/>
    <w:tmpl w:val="599AE59A"/>
    <w:lvl w:ilvl="0" w:tplc="0409000F">
      <w:start w:val="1"/>
      <w:numFmt w:val="decimal"/>
      <w:lvlText w:val="%1."/>
      <w:lvlJc w:val="left"/>
      <w:pPr>
        <w:ind w:left="720" w:hanging="360"/>
      </w:pPr>
      <w:rPr>
        <w:rFonts w:hint="default"/>
      </w:rPr>
    </w:lvl>
    <w:lvl w:ilvl="1" w:tplc="04090017">
      <w:start w:val="1"/>
      <w:numFmt w:val="lowerLetter"/>
      <w:lvlText w:val="%2)"/>
      <w:lvlJc w:val="left"/>
      <w:pPr>
        <w:ind w:left="162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AA009E"/>
    <w:multiLevelType w:val="hybridMultilevel"/>
    <w:tmpl w:val="21FAFABC"/>
    <w:lvl w:ilvl="0" w:tplc="56E04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06316"/>
    <w:multiLevelType w:val="hybridMultilevel"/>
    <w:tmpl w:val="DB1C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0"/>
  </w:num>
  <w:num w:numId="5">
    <w:abstractNumId w:val="9"/>
  </w:num>
  <w:num w:numId="6">
    <w:abstractNumId w:val="12"/>
  </w:num>
  <w:num w:numId="7">
    <w:abstractNumId w:val="2"/>
  </w:num>
  <w:num w:numId="8">
    <w:abstractNumId w:val="3"/>
  </w:num>
  <w:num w:numId="9">
    <w:abstractNumId w:val="0"/>
  </w:num>
  <w:num w:numId="10">
    <w:abstractNumId w:val="14"/>
  </w:num>
  <w:num w:numId="11">
    <w:abstractNumId w:val="5"/>
  </w:num>
  <w:num w:numId="12">
    <w:abstractNumId w:val="4"/>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0MDYwMLIwMjQ2MDJX0lEKTi0uzszPAykwrAUA5Tou+CwAAAA="/>
  </w:docVars>
  <w:rsids>
    <w:rsidRoot w:val="00637E4F"/>
    <w:rsid w:val="000025B2"/>
    <w:rsid w:val="0000359C"/>
    <w:rsid w:val="0000395D"/>
    <w:rsid w:val="00003B11"/>
    <w:rsid w:val="00011DF2"/>
    <w:rsid w:val="0001437C"/>
    <w:rsid w:val="00020ECF"/>
    <w:rsid w:val="0002137A"/>
    <w:rsid w:val="00021505"/>
    <w:rsid w:val="00021827"/>
    <w:rsid w:val="0002241D"/>
    <w:rsid w:val="00030C97"/>
    <w:rsid w:val="00033CF1"/>
    <w:rsid w:val="000402D8"/>
    <w:rsid w:val="000426A5"/>
    <w:rsid w:val="00044F72"/>
    <w:rsid w:val="000466E7"/>
    <w:rsid w:val="00050ECE"/>
    <w:rsid w:val="00052D82"/>
    <w:rsid w:val="0006291F"/>
    <w:rsid w:val="00067C65"/>
    <w:rsid w:val="00070BBC"/>
    <w:rsid w:val="00080423"/>
    <w:rsid w:val="00084648"/>
    <w:rsid w:val="000856E4"/>
    <w:rsid w:val="00090633"/>
    <w:rsid w:val="00091209"/>
    <w:rsid w:val="000A6CF0"/>
    <w:rsid w:val="000A765D"/>
    <w:rsid w:val="000A7703"/>
    <w:rsid w:val="000A7895"/>
    <w:rsid w:val="000B1243"/>
    <w:rsid w:val="000B2F2D"/>
    <w:rsid w:val="000B4356"/>
    <w:rsid w:val="000B6E29"/>
    <w:rsid w:val="000C11D1"/>
    <w:rsid w:val="000C12AD"/>
    <w:rsid w:val="000C2F2A"/>
    <w:rsid w:val="000C6C9B"/>
    <w:rsid w:val="000C6EC4"/>
    <w:rsid w:val="000E041E"/>
    <w:rsid w:val="000E0A5B"/>
    <w:rsid w:val="000E26F4"/>
    <w:rsid w:val="000E4DA8"/>
    <w:rsid w:val="000F0683"/>
    <w:rsid w:val="000F4F4F"/>
    <w:rsid w:val="000F59B0"/>
    <w:rsid w:val="000F76BF"/>
    <w:rsid w:val="001014E9"/>
    <w:rsid w:val="001029B4"/>
    <w:rsid w:val="00103A26"/>
    <w:rsid w:val="00104C34"/>
    <w:rsid w:val="00105031"/>
    <w:rsid w:val="001054B3"/>
    <w:rsid w:val="00105C5D"/>
    <w:rsid w:val="00110B92"/>
    <w:rsid w:val="0011190E"/>
    <w:rsid w:val="00116088"/>
    <w:rsid w:val="00116402"/>
    <w:rsid w:val="001200C4"/>
    <w:rsid w:val="001227A7"/>
    <w:rsid w:val="001265CD"/>
    <w:rsid w:val="00130296"/>
    <w:rsid w:val="00133BF8"/>
    <w:rsid w:val="00134B20"/>
    <w:rsid w:val="001353B7"/>
    <w:rsid w:val="001436F5"/>
    <w:rsid w:val="00147F1B"/>
    <w:rsid w:val="00153639"/>
    <w:rsid w:val="0015522B"/>
    <w:rsid w:val="001560D1"/>
    <w:rsid w:val="00156215"/>
    <w:rsid w:val="00157DD7"/>
    <w:rsid w:val="00160D4B"/>
    <w:rsid w:val="00162026"/>
    <w:rsid w:val="0017373F"/>
    <w:rsid w:val="00176045"/>
    <w:rsid w:val="0018039C"/>
    <w:rsid w:val="00182611"/>
    <w:rsid w:val="00183A9A"/>
    <w:rsid w:val="00187325"/>
    <w:rsid w:val="00192E8D"/>
    <w:rsid w:val="00193E61"/>
    <w:rsid w:val="00196F96"/>
    <w:rsid w:val="001A46DB"/>
    <w:rsid w:val="001A5D75"/>
    <w:rsid w:val="001B3BE3"/>
    <w:rsid w:val="001B7A21"/>
    <w:rsid w:val="001C10C1"/>
    <w:rsid w:val="001C147C"/>
    <w:rsid w:val="001C1ACB"/>
    <w:rsid w:val="001D3EAE"/>
    <w:rsid w:val="001D702E"/>
    <w:rsid w:val="001E1E7B"/>
    <w:rsid w:val="001E3C02"/>
    <w:rsid w:val="001F6115"/>
    <w:rsid w:val="001F64D6"/>
    <w:rsid w:val="0020069B"/>
    <w:rsid w:val="002017EE"/>
    <w:rsid w:val="00202A8B"/>
    <w:rsid w:val="00204D05"/>
    <w:rsid w:val="002052EB"/>
    <w:rsid w:val="00206524"/>
    <w:rsid w:val="002072E4"/>
    <w:rsid w:val="002074BF"/>
    <w:rsid w:val="00222BC7"/>
    <w:rsid w:val="00224882"/>
    <w:rsid w:val="002340A3"/>
    <w:rsid w:val="00234ECF"/>
    <w:rsid w:val="00240E5D"/>
    <w:rsid w:val="00242943"/>
    <w:rsid w:val="00244AF3"/>
    <w:rsid w:val="00246654"/>
    <w:rsid w:val="002476D0"/>
    <w:rsid w:val="002539BA"/>
    <w:rsid w:val="002542A0"/>
    <w:rsid w:val="00271A20"/>
    <w:rsid w:val="00272DDC"/>
    <w:rsid w:val="0027334C"/>
    <w:rsid w:val="002766C0"/>
    <w:rsid w:val="0027689D"/>
    <w:rsid w:val="00281519"/>
    <w:rsid w:val="002861E9"/>
    <w:rsid w:val="00287C49"/>
    <w:rsid w:val="00287F56"/>
    <w:rsid w:val="002961A1"/>
    <w:rsid w:val="002A1DF9"/>
    <w:rsid w:val="002A3DEA"/>
    <w:rsid w:val="002A5951"/>
    <w:rsid w:val="002A7B08"/>
    <w:rsid w:val="002B46C3"/>
    <w:rsid w:val="002B4C31"/>
    <w:rsid w:val="002C2D5A"/>
    <w:rsid w:val="002C5272"/>
    <w:rsid w:val="002D0A28"/>
    <w:rsid w:val="002D0B04"/>
    <w:rsid w:val="002D342C"/>
    <w:rsid w:val="002D3E97"/>
    <w:rsid w:val="002D6D39"/>
    <w:rsid w:val="002D718C"/>
    <w:rsid w:val="002D7490"/>
    <w:rsid w:val="002D7D10"/>
    <w:rsid w:val="002E10F7"/>
    <w:rsid w:val="002E425F"/>
    <w:rsid w:val="002F5866"/>
    <w:rsid w:val="00303A33"/>
    <w:rsid w:val="00311D7F"/>
    <w:rsid w:val="00312DBE"/>
    <w:rsid w:val="003144E4"/>
    <w:rsid w:val="00327D6C"/>
    <w:rsid w:val="00330E96"/>
    <w:rsid w:val="003316B0"/>
    <w:rsid w:val="003320A5"/>
    <w:rsid w:val="00343688"/>
    <w:rsid w:val="00344D5E"/>
    <w:rsid w:val="0034519D"/>
    <w:rsid w:val="00346BF4"/>
    <w:rsid w:val="003505D2"/>
    <w:rsid w:val="00351FEC"/>
    <w:rsid w:val="0035687F"/>
    <w:rsid w:val="00364D7E"/>
    <w:rsid w:val="0036678A"/>
    <w:rsid w:val="00366BF1"/>
    <w:rsid w:val="003671A7"/>
    <w:rsid w:val="003735E5"/>
    <w:rsid w:val="00375FC7"/>
    <w:rsid w:val="003777A0"/>
    <w:rsid w:val="003807E4"/>
    <w:rsid w:val="00380E23"/>
    <w:rsid w:val="003875CE"/>
    <w:rsid w:val="00390EA3"/>
    <w:rsid w:val="003976F7"/>
    <w:rsid w:val="00397A3F"/>
    <w:rsid w:val="003A1043"/>
    <w:rsid w:val="003A319E"/>
    <w:rsid w:val="003B1355"/>
    <w:rsid w:val="003B3861"/>
    <w:rsid w:val="003B4329"/>
    <w:rsid w:val="003B4745"/>
    <w:rsid w:val="003B6062"/>
    <w:rsid w:val="003B69FD"/>
    <w:rsid w:val="003B77C6"/>
    <w:rsid w:val="003C17FE"/>
    <w:rsid w:val="003C2395"/>
    <w:rsid w:val="003C4C54"/>
    <w:rsid w:val="003C5D34"/>
    <w:rsid w:val="003C6A3A"/>
    <w:rsid w:val="003C7884"/>
    <w:rsid w:val="003D0031"/>
    <w:rsid w:val="003D2443"/>
    <w:rsid w:val="003D2B59"/>
    <w:rsid w:val="003E0ECD"/>
    <w:rsid w:val="003E16D4"/>
    <w:rsid w:val="003F0368"/>
    <w:rsid w:val="003F4B97"/>
    <w:rsid w:val="003F56C2"/>
    <w:rsid w:val="003F5E84"/>
    <w:rsid w:val="003F78BB"/>
    <w:rsid w:val="004025CF"/>
    <w:rsid w:val="0040352A"/>
    <w:rsid w:val="00405DAA"/>
    <w:rsid w:val="00407667"/>
    <w:rsid w:val="00414E2D"/>
    <w:rsid w:val="004170CA"/>
    <w:rsid w:val="00417717"/>
    <w:rsid w:val="00420826"/>
    <w:rsid w:val="004238D0"/>
    <w:rsid w:val="00424F81"/>
    <w:rsid w:val="00426C39"/>
    <w:rsid w:val="00427948"/>
    <w:rsid w:val="00432F1F"/>
    <w:rsid w:val="00434A38"/>
    <w:rsid w:val="00435B61"/>
    <w:rsid w:val="004402B1"/>
    <w:rsid w:val="00442FC2"/>
    <w:rsid w:val="00444ACC"/>
    <w:rsid w:val="0044702D"/>
    <w:rsid w:val="004503D0"/>
    <w:rsid w:val="00453D9E"/>
    <w:rsid w:val="0045530A"/>
    <w:rsid w:val="00456DAC"/>
    <w:rsid w:val="004633E8"/>
    <w:rsid w:val="00464A4D"/>
    <w:rsid w:val="00466A54"/>
    <w:rsid w:val="004674D8"/>
    <w:rsid w:val="004675A3"/>
    <w:rsid w:val="00471156"/>
    <w:rsid w:val="004720B0"/>
    <w:rsid w:val="00476F2B"/>
    <w:rsid w:val="0047723E"/>
    <w:rsid w:val="004818C7"/>
    <w:rsid w:val="004A303C"/>
    <w:rsid w:val="004A4E51"/>
    <w:rsid w:val="004B04B4"/>
    <w:rsid w:val="004B1B2C"/>
    <w:rsid w:val="004B20A1"/>
    <w:rsid w:val="004B2420"/>
    <w:rsid w:val="004B43A9"/>
    <w:rsid w:val="004B6015"/>
    <w:rsid w:val="004B7DD3"/>
    <w:rsid w:val="004C11BD"/>
    <w:rsid w:val="004C3F46"/>
    <w:rsid w:val="004C43F3"/>
    <w:rsid w:val="004C565F"/>
    <w:rsid w:val="004C6BDB"/>
    <w:rsid w:val="004D15BE"/>
    <w:rsid w:val="004D249F"/>
    <w:rsid w:val="004E3769"/>
    <w:rsid w:val="004E5D48"/>
    <w:rsid w:val="004E7BD9"/>
    <w:rsid w:val="004F23AD"/>
    <w:rsid w:val="004F6114"/>
    <w:rsid w:val="00500CB7"/>
    <w:rsid w:val="00502484"/>
    <w:rsid w:val="0051371A"/>
    <w:rsid w:val="00515798"/>
    <w:rsid w:val="005200A1"/>
    <w:rsid w:val="00522185"/>
    <w:rsid w:val="0052222E"/>
    <w:rsid w:val="00522FDB"/>
    <w:rsid w:val="0052464C"/>
    <w:rsid w:val="005301A0"/>
    <w:rsid w:val="0053187E"/>
    <w:rsid w:val="0053752C"/>
    <w:rsid w:val="005400E0"/>
    <w:rsid w:val="0054082B"/>
    <w:rsid w:val="0054476D"/>
    <w:rsid w:val="00545DFA"/>
    <w:rsid w:val="0055049C"/>
    <w:rsid w:val="0055068C"/>
    <w:rsid w:val="00551427"/>
    <w:rsid w:val="0055257D"/>
    <w:rsid w:val="005525A7"/>
    <w:rsid w:val="0055292F"/>
    <w:rsid w:val="00554D17"/>
    <w:rsid w:val="00563A2C"/>
    <w:rsid w:val="0056481C"/>
    <w:rsid w:val="00571987"/>
    <w:rsid w:val="005745C2"/>
    <w:rsid w:val="00575EEA"/>
    <w:rsid w:val="00581272"/>
    <w:rsid w:val="00584137"/>
    <w:rsid w:val="00593E90"/>
    <w:rsid w:val="005A0FD1"/>
    <w:rsid w:val="005A312F"/>
    <w:rsid w:val="005A46B7"/>
    <w:rsid w:val="005A54E8"/>
    <w:rsid w:val="005A5E49"/>
    <w:rsid w:val="005A6BE0"/>
    <w:rsid w:val="005A7C12"/>
    <w:rsid w:val="005B0CAF"/>
    <w:rsid w:val="005B1A46"/>
    <w:rsid w:val="005B3A61"/>
    <w:rsid w:val="005B40D6"/>
    <w:rsid w:val="005B4AB5"/>
    <w:rsid w:val="005B5B97"/>
    <w:rsid w:val="005C4BF3"/>
    <w:rsid w:val="005D0B3F"/>
    <w:rsid w:val="005E0976"/>
    <w:rsid w:val="005E5950"/>
    <w:rsid w:val="005E63A6"/>
    <w:rsid w:val="005E693D"/>
    <w:rsid w:val="005F3373"/>
    <w:rsid w:val="006046A3"/>
    <w:rsid w:val="006112C2"/>
    <w:rsid w:val="00613C39"/>
    <w:rsid w:val="00614D04"/>
    <w:rsid w:val="00617AC7"/>
    <w:rsid w:val="006222F4"/>
    <w:rsid w:val="0062290E"/>
    <w:rsid w:val="00624E00"/>
    <w:rsid w:val="006263A7"/>
    <w:rsid w:val="00632EBF"/>
    <w:rsid w:val="00634A24"/>
    <w:rsid w:val="006365B5"/>
    <w:rsid w:val="00637E4F"/>
    <w:rsid w:val="0064250E"/>
    <w:rsid w:val="00643D44"/>
    <w:rsid w:val="00645C7C"/>
    <w:rsid w:val="00646FDD"/>
    <w:rsid w:val="00647205"/>
    <w:rsid w:val="006506B4"/>
    <w:rsid w:val="0065100F"/>
    <w:rsid w:val="00655B4C"/>
    <w:rsid w:val="00656676"/>
    <w:rsid w:val="00660749"/>
    <w:rsid w:val="00662ECF"/>
    <w:rsid w:val="006648F2"/>
    <w:rsid w:val="00670A29"/>
    <w:rsid w:val="00671DD1"/>
    <w:rsid w:val="00676D6A"/>
    <w:rsid w:val="00677DD4"/>
    <w:rsid w:val="006824D5"/>
    <w:rsid w:val="00683CC2"/>
    <w:rsid w:val="00687262"/>
    <w:rsid w:val="00691105"/>
    <w:rsid w:val="00692417"/>
    <w:rsid w:val="006925DE"/>
    <w:rsid w:val="00693394"/>
    <w:rsid w:val="00693E78"/>
    <w:rsid w:val="00697B34"/>
    <w:rsid w:val="006A07A4"/>
    <w:rsid w:val="006A0BDF"/>
    <w:rsid w:val="006A17D0"/>
    <w:rsid w:val="006A4418"/>
    <w:rsid w:val="006B2F46"/>
    <w:rsid w:val="006B34F8"/>
    <w:rsid w:val="006B505C"/>
    <w:rsid w:val="006B7EB8"/>
    <w:rsid w:val="006C341D"/>
    <w:rsid w:val="006D0EA8"/>
    <w:rsid w:val="006D28FC"/>
    <w:rsid w:val="006D313E"/>
    <w:rsid w:val="006D343B"/>
    <w:rsid w:val="006D5AD8"/>
    <w:rsid w:val="006D6280"/>
    <w:rsid w:val="006D7A7D"/>
    <w:rsid w:val="006E113E"/>
    <w:rsid w:val="006E3282"/>
    <w:rsid w:val="006E3AC7"/>
    <w:rsid w:val="006E48FA"/>
    <w:rsid w:val="006F3977"/>
    <w:rsid w:val="006F4E6E"/>
    <w:rsid w:val="006F4EF1"/>
    <w:rsid w:val="0070128F"/>
    <w:rsid w:val="00704F49"/>
    <w:rsid w:val="0071024A"/>
    <w:rsid w:val="007129EF"/>
    <w:rsid w:val="007138E2"/>
    <w:rsid w:val="007168C7"/>
    <w:rsid w:val="00716A12"/>
    <w:rsid w:val="00716A6E"/>
    <w:rsid w:val="00720D8E"/>
    <w:rsid w:val="00723723"/>
    <w:rsid w:val="00724C11"/>
    <w:rsid w:val="00726768"/>
    <w:rsid w:val="00727594"/>
    <w:rsid w:val="0073124A"/>
    <w:rsid w:val="00740A34"/>
    <w:rsid w:val="0074169F"/>
    <w:rsid w:val="00742C4B"/>
    <w:rsid w:val="00746032"/>
    <w:rsid w:val="00751489"/>
    <w:rsid w:val="00754780"/>
    <w:rsid w:val="0076043D"/>
    <w:rsid w:val="00761422"/>
    <w:rsid w:val="00761C4D"/>
    <w:rsid w:val="00763C8D"/>
    <w:rsid w:val="007640CE"/>
    <w:rsid w:val="00764D1F"/>
    <w:rsid w:val="00764D60"/>
    <w:rsid w:val="00765E6E"/>
    <w:rsid w:val="00767763"/>
    <w:rsid w:val="00767C91"/>
    <w:rsid w:val="00774A90"/>
    <w:rsid w:val="0078395A"/>
    <w:rsid w:val="007843BA"/>
    <w:rsid w:val="00790CCD"/>
    <w:rsid w:val="00792A0C"/>
    <w:rsid w:val="007930E0"/>
    <w:rsid w:val="00793F79"/>
    <w:rsid w:val="00796E08"/>
    <w:rsid w:val="007A1F66"/>
    <w:rsid w:val="007A43FB"/>
    <w:rsid w:val="007A7625"/>
    <w:rsid w:val="007A7679"/>
    <w:rsid w:val="007A7EEC"/>
    <w:rsid w:val="007B48E7"/>
    <w:rsid w:val="007B49D1"/>
    <w:rsid w:val="007B70D6"/>
    <w:rsid w:val="007C305D"/>
    <w:rsid w:val="007C4DC3"/>
    <w:rsid w:val="007C77EF"/>
    <w:rsid w:val="007D59D4"/>
    <w:rsid w:val="007E1177"/>
    <w:rsid w:val="007E1D2C"/>
    <w:rsid w:val="007E2286"/>
    <w:rsid w:val="007E33DE"/>
    <w:rsid w:val="007F67F6"/>
    <w:rsid w:val="007F7BB4"/>
    <w:rsid w:val="00805E28"/>
    <w:rsid w:val="00806800"/>
    <w:rsid w:val="00806F40"/>
    <w:rsid w:val="00811906"/>
    <w:rsid w:val="00812E95"/>
    <w:rsid w:val="008148D2"/>
    <w:rsid w:val="00814FFE"/>
    <w:rsid w:val="00815687"/>
    <w:rsid w:val="00821F95"/>
    <w:rsid w:val="008251F1"/>
    <w:rsid w:val="00825298"/>
    <w:rsid w:val="008345AB"/>
    <w:rsid w:val="008347A4"/>
    <w:rsid w:val="008362B6"/>
    <w:rsid w:val="0084290F"/>
    <w:rsid w:val="00847259"/>
    <w:rsid w:val="00847C23"/>
    <w:rsid w:val="00851E27"/>
    <w:rsid w:val="008523FD"/>
    <w:rsid w:val="0085504F"/>
    <w:rsid w:val="00857F29"/>
    <w:rsid w:val="00861378"/>
    <w:rsid w:val="008726B7"/>
    <w:rsid w:val="00875938"/>
    <w:rsid w:val="0087600A"/>
    <w:rsid w:val="00883C64"/>
    <w:rsid w:val="00884285"/>
    <w:rsid w:val="0088773A"/>
    <w:rsid w:val="00887921"/>
    <w:rsid w:val="00891F21"/>
    <w:rsid w:val="00895BC8"/>
    <w:rsid w:val="00895ECA"/>
    <w:rsid w:val="008A026E"/>
    <w:rsid w:val="008A0B8E"/>
    <w:rsid w:val="008A3ACA"/>
    <w:rsid w:val="008A4618"/>
    <w:rsid w:val="008B1C09"/>
    <w:rsid w:val="008B37CE"/>
    <w:rsid w:val="008B5B95"/>
    <w:rsid w:val="008C0864"/>
    <w:rsid w:val="008C1F90"/>
    <w:rsid w:val="008C3896"/>
    <w:rsid w:val="008C44D1"/>
    <w:rsid w:val="008D29E7"/>
    <w:rsid w:val="008D4BF5"/>
    <w:rsid w:val="008D5FFA"/>
    <w:rsid w:val="008D6E0B"/>
    <w:rsid w:val="008F2C3A"/>
    <w:rsid w:val="008F38AB"/>
    <w:rsid w:val="008F4182"/>
    <w:rsid w:val="008F60CD"/>
    <w:rsid w:val="009059CC"/>
    <w:rsid w:val="0090722F"/>
    <w:rsid w:val="00907DCA"/>
    <w:rsid w:val="0091383E"/>
    <w:rsid w:val="00917F2C"/>
    <w:rsid w:val="009205F9"/>
    <w:rsid w:val="009253F8"/>
    <w:rsid w:val="00930053"/>
    <w:rsid w:val="009309D1"/>
    <w:rsid w:val="00933589"/>
    <w:rsid w:val="00933D06"/>
    <w:rsid w:val="00935120"/>
    <w:rsid w:val="0093687A"/>
    <w:rsid w:val="009369E0"/>
    <w:rsid w:val="00936D3E"/>
    <w:rsid w:val="00937E5A"/>
    <w:rsid w:val="0094017C"/>
    <w:rsid w:val="00941D44"/>
    <w:rsid w:val="00944A14"/>
    <w:rsid w:val="00945496"/>
    <w:rsid w:val="00945C07"/>
    <w:rsid w:val="0094603A"/>
    <w:rsid w:val="00946523"/>
    <w:rsid w:val="00955346"/>
    <w:rsid w:val="009557FB"/>
    <w:rsid w:val="009603F4"/>
    <w:rsid w:val="00967489"/>
    <w:rsid w:val="009678EA"/>
    <w:rsid w:val="009705D5"/>
    <w:rsid w:val="0097118C"/>
    <w:rsid w:val="00972272"/>
    <w:rsid w:val="0097717E"/>
    <w:rsid w:val="00982F22"/>
    <w:rsid w:val="00983A04"/>
    <w:rsid w:val="009860D6"/>
    <w:rsid w:val="00993B7B"/>
    <w:rsid w:val="00994368"/>
    <w:rsid w:val="00996B68"/>
    <w:rsid w:val="009A5BAF"/>
    <w:rsid w:val="009B140C"/>
    <w:rsid w:val="009B5E13"/>
    <w:rsid w:val="009B7205"/>
    <w:rsid w:val="009C08DB"/>
    <w:rsid w:val="009D0467"/>
    <w:rsid w:val="009D0C84"/>
    <w:rsid w:val="009D4CDA"/>
    <w:rsid w:val="009D556A"/>
    <w:rsid w:val="009D640F"/>
    <w:rsid w:val="009E0CB0"/>
    <w:rsid w:val="009E3983"/>
    <w:rsid w:val="009E4D42"/>
    <w:rsid w:val="009F0856"/>
    <w:rsid w:val="009F3151"/>
    <w:rsid w:val="00A0058C"/>
    <w:rsid w:val="00A01780"/>
    <w:rsid w:val="00A06EA4"/>
    <w:rsid w:val="00A07AF7"/>
    <w:rsid w:val="00A07BD5"/>
    <w:rsid w:val="00A1147F"/>
    <w:rsid w:val="00A11665"/>
    <w:rsid w:val="00A15C50"/>
    <w:rsid w:val="00A172F0"/>
    <w:rsid w:val="00A26F13"/>
    <w:rsid w:val="00A31AFC"/>
    <w:rsid w:val="00A34E24"/>
    <w:rsid w:val="00A401D5"/>
    <w:rsid w:val="00A40F1C"/>
    <w:rsid w:val="00A4569B"/>
    <w:rsid w:val="00A50910"/>
    <w:rsid w:val="00A5159D"/>
    <w:rsid w:val="00A5444F"/>
    <w:rsid w:val="00A55FE0"/>
    <w:rsid w:val="00A61A85"/>
    <w:rsid w:val="00A61D9D"/>
    <w:rsid w:val="00A62D86"/>
    <w:rsid w:val="00A65B9E"/>
    <w:rsid w:val="00A713D3"/>
    <w:rsid w:val="00A77D4E"/>
    <w:rsid w:val="00A8019F"/>
    <w:rsid w:val="00A818B8"/>
    <w:rsid w:val="00A84631"/>
    <w:rsid w:val="00A84DE1"/>
    <w:rsid w:val="00A8555C"/>
    <w:rsid w:val="00A85DE1"/>
    <w:rsid w:val="00A93A5D"/>
    <w:rsid w:val="00A93F32"/>
    <w:rsid w:val="00A9567E"/>
    <w:rsid w:val="00AA73F1"/>
    <w:rsid w:val="00AB121D"/>
    <w:rsid w:val="00AB1CCC"/>
    <w:rsid w:val="00AB46DB"/>
    <w:rsid w:val="00AB6678"/>
    <w:rsid w:val="00AB66AE"/>
    <w:rsid w:val="00AB6E4A"/>
    <w:rsid w:val="00AB7171"/>
    <w:rsid w:val="00AB7FCF"/>
    <w:rsid w:val="00AC17F7"/>
    <w:rsid w:val="00AC1B3E"/>
    <w:rsid w:val="00AC43B2"/>
    <w:rsid w:val="00AC76A7"/>
    <w:rsid w:val="00AD0B5F"/>
    <w:rsid w:val="00AD225A"/>
    <w:rsid w:val="00AD661D"/>
    <w:rsid w:val="00AE1531"/>
    <w:rsid w:val="00AE766A"/>
    <w:rsid w:val="00AF07D6"/>
    <w:rsid w:val="00AF13E2"/>
    <w:rsid w:val="00AF5378"/>
    <w:rsid w:val="00AF6DCE"/>
    <w:rsid w:val="00B00289"/>
    <w:rsid w:val="00B00886"/>
    <w:rsid w:val="00B0557D"/>
    <w:rsid w:val="00B060B7"/>
    <w:rsid w:val="00B13614"/>
    <w:rsid w:val="00B15C03"/>
    <w:rsid w:val="00B165FA"/>
    <w:rsid w:val="00B21DDA"/>
    <w:rsid w:val="00B22F8C"/>
    <w:rsid w:val="00B242E1"/>
    <w:rsid w:val="00B2660D"/>
    <w:rsid w:val="00B277EF"/>
    <w:rsid w:val="00B32CFB"/>
    <w:rsid w:val="00B33A13"/>
    <w:rsid w:val="00B35147"/>
    <w:rsid w:val="00B36862"/>
    <w:rsid w:val="00B52E5A"/>
    <w:rsid w:val="00B60E15"/>
    <w:rsid w:val="00B638B6"/>
    <w:rsid w:val="00B8215F"/>
    <w:rsid w:val="00B82339"/>
    <w:rsid w:val="00B85AA6"/>
    <w:rsid w:val="00B85B57"/>
    <w:rsid w:val="00B86A6B"/>
    <w:rsid w:val="00BA0A18"/>
    <w:rsid w:val="00BA1017"/>
    <w:rsid w:val="00BA287C"/>
    <w:rsid w:val="00BA4684"/>
    <w:rsid w:val="00BA5A82"/>
    <w:rsid w:val="00BB2341"/>
    <w:rsid w:val="00BB6BDA"/>
    <w:rsid w:val="00BC22E5"/>
    <w:rsid w:val="00BC3374"/>
    <w:rsid w:val="00BD4ED9"/>
    <w:rsid w:val="00BD5492"/>
    <w:rsid w:val="00BE1DB8"/>
    <w:rsid w:val="00BE3259"/>
    <w:rsid w:val="00BE4902"/>
    <w:rsid w:val="00BE58EA"/>
    <w:rsid w:val="00BF344E"/>
    <w:rsid w:val="00BF7383"/>
    <w:rsid w:val="00BF79B8"/>
    <w:rsid w:val="00C022E2"/>
    <w:rsid w:val="00C04797"/>
    <w:rsid w:val="00C05242"/>
    <w:rsid w:val="00C067F6"/>
    <w:rsid w:val="00C11B7C"/>
    <w:rsid w:val="00C12A5C"/>
    <w:rsid w:val="00C14128"/>
    <w:rsid w:val="00C14358"/>
    <w:rsid w:val="00C22BD9"/>
    <w:rsid w:val="00C26138"/>
    <w:rsid w:val="00C33B55"/>
    <w:rsid w:val="00C3610C"/>
    <w:rsid w:val="00C37441"/>
    <w:rsid w:val="00C47957"/>
    <w:rsid w:val="00C5279A"/>
    <w:rsid w:val="00C5440A"/>
    <w:rsid w:val="00C631C8"/>
    <w:rsid w:val="00C6344C"/>
    <w:rsid w:val="00C67EF7"/>
    <w:rsid w:val="00C72081"/>
    <w:rsid w:val="00C73C23"/>
    <w:rsid w:val="00C742A0"/>
    <w:rsid w:val="00C74EFB"/>
    <w:rsid w:val="00C7540B"/>
    <w:rsid w:val="00C76BEE"/>
    <w:rsid w:val="00C8299A"/>
    <w:rsid w:val="00C92C27"/>
    <w:rsid w:val="00C93AC7"/>
    <w:rsid w:val="00C94DAD"/>
    <w:rsid w:val="00C97611"/>
    <w:rsid w:val="00CA5025"/>
    <w:rsid w:val="00CB178A"/>
    <w:rsid w:val="00CC3CF5"/>
    <w:rsid w:val="00CC5199"/>
    <w:rsid w:val="00CC6564"/>
    <w:rsid w:val="00CC6BE9"/>
    <w:rsid w:val="00CC6F85"/>
    <w:rsid w:val="00CC77ED"/>
    <w:rsid w:val="00CC78E9"/>
    <w:rsid w:val="00CC7FA8"/>
    <w:rsid w:val="00CD017B"/>
    <w:rsid w:val="00CD0D64"/>
    <w:rsid w:val="00CD4935"/>
    <w:rsid w:val="00CE15C1"/>
    <w:rsid w:val="00CE530B"/>
    <w:rsid w:val="00CE7D9E"/>
    <w:rsid w:val="00CF183F"/>
    <w:rsid w:val="00CF318B"/>
    <w:rsid w:val="00CF6D13"/>
    <w:rsid w:val="00D01C77"/>
    <w:rsid w:val="00D02544"/>
    <w:rsid w:val="00D026EA"/>
    <w:rsid w:val="00D040FC"/>
    <w:rsid w:val="00D0503E"/>
    <w:rsid w:val="00D05150"/>
    <w:rsid w:val="00D06360"/>
    <w:rsid w:val="00D068B7"/>
    <w:rsid w:val="00D0752D"/>
    <w:rsid w:val="00D11A09"/>
    <w:rsid w:val="00D1719A"/>
    <w:rsid w:val="00D176BA"/>
    <w:rsid w:val="00D21BD6"/>
    <w:rsid w:val="00D22863"/>
    <w:rsid w:val="00D26100"/>
    <w:rsid w:val="00D2691B"/>
    <w:rsid w:val="00D30CA7"/>
    <w:rsid w:val="00D32B6C"/>
    <w:rsid w:val="00D35B03"/>
    <w:rsid w:val="00D36556"/>
    <w:rsid w:val="00D3690E"/>
    <w:rsid w:val="00D36973"/>
    <w:rsid w:val="00D408FB"/>
    <w:rsid w:val="00D43ACC"/>
    <w:rsid w:val="00D451A4"/>
    <w:rsid w:val="00D47055"/>
    <w:rsid w:val="00D50B24"/>
    <w:rsid w:val="00D515E0"/>
    <w:rsid w:val="00D52DEE"/>
    <w:rsid w:val="00D54D41"/>
    <w:rsid w:val="00D552B1"/>
    <w:rsid w:val="00D57E33"/>
    <w:rsid w:val="00D62AED"/>
    <w:rsid w:val="00D64738"/>
    <w:rsid w:val="00D67B9E"/>
    <w:rsid w:val="00D743CE"/>
    <w:rsid w:val="00D74F86"/>
    <w:rsid w:val="00D813CE"/>
    <w:rsid w:val="00D8167D"/>
    <w:rsid w:val="00D8234D"/>
    <w:rsid w:val="00D833D8"/>
    <w:rsid w:val="00D874F4"/>
    <w:rsid w:val="00D90059"/>
    <w:rsid w:val="00D91FD8"/>
    <w:rsid w:val="00D961C1"/>
    <w:rsid w:val="00DA077B"/>
    <w:rsid w:val="00DA21B6"/>
    <w:rsid w:val="00DA6918"/>
    <w:rsid w:val="00DB0D2D"/>
    <w:rsid w:val="00DB7380"/>
    <w:rsid w:val="00DC0020"/>
    <w:rsid w:val="00DC2EDB"/>
    <w:rsid w:val="00DC6094"/>
    <w:rsid w:val="00DC65F3"/>
    <w:rsid w:val="00DD0634"/>
    <w:rsid w:val="00DD252E"/>
    <w:rsid w:val="00DD35A7"/>
    <w:rsid w:val="00DD5D38"/>
    <w:rsid w:val="00DD7910"/>
    <w:rsid w:val="00DD79D1"/>
    <w:rsid w:val="00DE1296"/>
    <w:rsid w:val="00DE2C1F"/>
    <w:rsid w:val="00DE452F"/>
    <w:rsid w:val="00DE590E"/>
    <w:rsid w:val="00DE5FAD"/>
    <w:rsid w:val="00DE653D"/>
    <w:rsid w:val="00DE7CDB"/>
    <w:rsid w:val="00DF1BE9"/>
    <w:rsid w:val="00E13547"/>
    <w:rsid w:val="00E13C1B"/>
    <w:rsid w:val="00E2145F"/>
    <w:rsid w:val="00E21D13"/>
    <w:rsid w:val="00E23546"/>
    <w:rsid w:val="00E2461E"/>
    <w:rsid w:val="00E26550"/>
    <w:rsid w:val="00E266F5"/>
    <w:rsid w:val="00E3166F"/>
    <w:rsid w:val="00E31A5C"/>
    <w:rsid w:val="00E33240"/>
    <w:rsid w:val="00E5332A"/>
    <w:rsid w:val="00E536D3"/>
    <w:rsid w:val="00E55DFA"/>
    <w:rsid w:val="00E56C98"/>
    <w:rsid w:val="00E576DF"/>
    <w:rsid w:val="00E62F19"/>
    <w:rsid w:val="00E63CAA"/>
    <w:rsid w:val="00E67A3D"/>
    <w:rsid w:val="00E67C2D"/>
    <w:rsid w:val="00E70970"/>
    <w:rsid w:val="00E70B2D"/>
    <w:rsid w:val="00E70D04"/>
    <w:rsid w:val="00E76865"/>
    <w:rsid w:val="00E770B3"/>
    <w:rsid w:val="00E80A0B"/>
    <w:rsid w:val="00E823DF"/>
    <w:rsid w:val="00E901DE"/>
    <w:rsid w:val="00E9173F"/>
    <w:rsid w:val="00E9550C"/>
    <w:rsid w:val="00E95815"/>
    <w:rsid w:val="00E97380"/>
    <w:rsid w:val="00EA2100"/>
    <w:rsid w:val="00EA30BB"/>
    <w:rsid w:val="00EA352F"/>
    <w:rsid w:val="00EA5A1D"/>
    <w:rsid w:val="00EA5D7D"/>
    <w:rsid w:val="00EA5F84"/>
    <w:rsid w:val="00EB4B2F"/>
    <w:rsid w:val="00EB54F4"/>
    <w:rsid w:val="00EC0059"/>
    <w:rsid w:val="00EC0FB1"/>
    <w:rsid w:val="00ED0AF7"/>
    <w:rsid w:val="00ED2B56"/>
    <w:rsid w:val="00ED4923"/>
    <w:rsid w:val="00ED608B"/>
    <w:rsid w:val="00EE32F3"/>
    <w:rsid w:val="00EE4760"/>
    <w:rsid w:val="00EE6F74"/>
    <w:rsid w:val="00EF08A6"/>
    <w:rsid w:val="00EF1CCE"/>
    <w:rsid w:val="00EF53DE"/>
    <w:rsid w:val="00EF6EE7"/>
    <w:rsid w:val="00EF7724"/>
    <w:rsid w:val="00F00736"/>
    <w:rsid w:val="00F01507"/>
    <w:rsid w:val="00F13ACC"/>
    <w:rsid w:val="00F14708"/>
    <w:rsid w:val="00F3242C"/>
    <w:rsid w:val="00F32FEF"/>
    <w:rsid w:val="00F35D5B"/>
    <w:rsid w:val="00F403CB"/>
    <w:rsid w:val="00F40A25"/>
    <w:rsid w:val="00F4604F"/>
    <w:rsid w:val="00F46A21"/>
    <w:rsid w:val="00F50C1A"/>
    <w:rsid w:val="00F50EA7"/>
    <w:rsid w:val="00F514BE"/>
    <w:rsid w:val="00F51FCB"/>
    <w:rsid w:val="00F52678"/>
    <w:rsid w:val="00F5492E"/>
    <w:rsid w:val="00F650DE"/>
    <w:rsid w:val="00F712AE"/>
    <w:rsid w:val="00F718FB"/>
    <w:rsid w:val="00F73FB9"/>
    <w:rsid w:val="00F7411D"/>
    <w:rsid w:val="00F775B0"/>
    <w:rsid w:val="00F805F2"/>
    <w:rsid w:val="00F80851"/>
    <w:rsid w:val="00F80DF0"/>
    <w:rsid w:val="00F8441D"/>
    <w:rsid w:val="00F852C7"/>
    <w:rsid w:val="00F87349"/>
    <w:rsid w:val="00F91896"/>
    <w:rsid w:val="00F91B25"/>
    <w:rsid w:val="00F959C7"/>
    <w:rsid w:val="00FA1E3F"/>
    <w:rsid w:val="00FA72BC"/>
    <w:rsid w:val="00FB0F88"/>
    <w:rsid w:val="00FB1762"/>
    <w:rsid w:val="00FB18E3"/>
    <w:rsid w:val="00FB1C92"/>
    <w:rsid w:val="00FB3209"/>
    <w:rsid w:val="00FB41D6"/>
    <w:rsid w:val="00FB5172"/>
    <w:rsid w:val="00FB547B"/>
    <w:rsid w:val="00FB6729"/>
    <w:rsid w:val="00FC10B0"/>
    <w:rsid w:val="00FC1B7F"/>
    <w:rsid w:val="00FD12B9"/>
    <w:rsid w:val="00FD1B19"/>
    <w:rsid w:val="00FD40F4"/>
    <w:rsid w:val="00FE168E"/>
    <w:rsid w:val="00FE4B7E"/>
    <w:rsid w:val="00FE5412"/>
    <w:rsid w:val="00FE5B3A"/>
    <w:rsid w:val="00FF3623"/>
    <w:rsid w:val="00FF39CC"/>
    <w:rsid w:val="00FF58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1549F"/>
  <w15:chartTrackingRefBased/>
  <w15:docId w15:val="{90899DCD-591F-4CFD-BA34-D84DF0DA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10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6E113E"/>
    <w:pPr>
      <w:spacing w:after="0" w:line="240" w:lineRule="auto"/>
    </w:pPr>
    <w:rPr>
      <w:sz w:val="20"/>
      <w:szCs w:val="20"/>
    </w:rPr>
  </w:style>
  <w:style w:type="character" w:customStyle="1" w:styleId="FootnoteTextChar">
    <w:name w:val="Footnote Text Char"/>
    <w:basedOn w:val="DefaultParagraphFont"/>
    <w:link w:val="FootnoteText"/>
    <w:uiPriority w:val="99"/>
    <w:rsid w:val="006E113E"/>
    <w:rPr>
      <w:sz w:val="20"/>
      <w:szCs w:val="20"/>
    </w:rPr>
  </w:style>
  <w:style w:type="character" w:styleId="FootnoteReference">
    <w:name w:val="footnote reference"/>
    <w:basedOn w:val="DefaultParagraphFont"/>
    <w:uiPriority w:val="99"/>
    <w:semiHidden/>
    <w:unhideWhenUsed/>
    <w:rsid w:val="006E113E"/>
    <w:rPr>
      <w:vertAlign w:val="superscript"/>
    </w:rPr>
  </w:style>
  <w:style w:type="character" w:styleId="Hyperlink">
    <w:name w:val="Hyperlink"/>
    <w:basedOn w:val="DefaultParagraphFont"/>
    <w:uiPriority w:val="99"/>
    <w:unhideWhenUsed/>
    <w:rsid w:val="00967489"/>
    <w:rPr>
      <w:color w:val="0563C1" w:themeColor="hyperlink"/>
      <w:u w:val="single"/>
    </w:rPr>
  </w:style>
  <w:style w:type="character" w:customStyle="1" w:styleId="UnresolvedMention1">
    <w:name w:val="Unresolved Mention1"/>
    <w:basedOn w:val="DefaultParagraphFont"/>
    <w:uiPriority w:val="99"/>
    <w:semiHidden/>
    <w:unhideWhenUsed/>
    <w:rsid w:val="00967489"/>
    <w:rPr>
      <w:color w:val="605E5C"/>
      <w:shd w:val="clear" w:color="auto" w:fill="E1DFDD"/>
    </w:rPr>
  </w:style>
  <w:style w:type="character" w:styleId="FollowedHyperlink">
    <w:name w:val="FollowedHyperlink"/>
    <w:basedOn w:val="DefaultParagraphFont"/>
    <w:uiPriority w:val="99"/>
    <w:semiHidden/>
    <w:unhideWhenUsed/>
    <w:rsid w:val="00CE15C1"/>
    <w:rPr>
      <w:color w:val="954F72" w:themeColor="followedHyperlink"/>
      <w:u w:val="single"/>
    </w:rPr>
  </w:style>
  <w:style w:type="character" w:styleId="CommentReference">
    <w:name w:val="annotation reference"/>
    <w:basedOn w:val="DefaultParagraphFont"/>
    <w:uiPriority w:val="99"/>
    <w:semiHidden/>
    <w:unhideWhenUsed/>
    <w:rsid w:val="001E1E7B"/>
    <w:rPr>
      <w:sz w:val="16"/>
      <w:szCs w:val="16"/>
    </w:rPr>
  </w:style>
  <w:style w:type="paragraph" w:styleId="CommentText">
    <w:name w:val="annotation text"/>
    <w:basedOn w:val="Normal"/>
    <w:link w:val="CommentTextChar"/>
    <w:uiPriority w:val="99"/>
    <w:semiHidden/>
    <w:unhideWhenUsed/>
    <w:rsid w:val="001E1E7B"/>
    <w:pPr>
      <w:spacing w:line="240" w:lineRule="auto"/>
    </w:pPr>
    <w:rPr>
      <w:sz w:val="20"/>
      <w:szCs w:val="20"/>
    </w:rPr>
  </w:style>
  <w:style w:type="character" w:customStyle="1" w:styleId="CommentTextChar">
    <w:name w:val="Comment Text Char"/>
    <w:basedOn w:val="DefaultParagraphFont"/>
    <w:link w:val="CommentText"/>
    <w:uiPriority w:val="99"/>
    <w:semiHidden/>
    <w:rsid w:val="001E1E7B"/>
    <w:rPr>
      <w:sz w:val="20"/>
      <w:szCs w:val="20"/>
    </w:rPr>
  </w:style>
  <w:style w:type="paragraph" w:styleId="CommentSubject">
    <w:name w:val="annotation subject"/>
    <w:basedOn w:val="CommentText"/>
    <w:next w:val="CommentText"/>
    <w:link w:val="CommentSubjectChar"/>
    <w:uiPriority w:val="99"/>
    <w:semiHidden/>
    <w:unhideWhenUsed/>
    <w:rsid w:val="001E1E7B"/>
    <w:rPr>
      <w:b/>
      <w:bCs/>
    </w:rPr>
  </w:style>
  <w:style w:type="character" w:customStyle="1" w:styleId="CommentSubjectChar">
    <w:name w:val="Comment Subject Char"/>
    <w:basedOn w:val="CommentTextChar"/>
    <w:link w:val="CommentSubject"/>
    <w:uiPriority w:val="99"/>
    <w:semiHidden/>
    <w:rsid w:val="001E1E7B"/>
    <w:rPr>
      <w:b/>
      <w:bCs/>
      <w:sz w:val="20"/>
      <w:szCs w:val="20"/>
    </w:rPr>
  </w:style>
  <w:style w:type="paragraph" w:styleId="ListParagraph">
    <w:name w:val="List Paragraph"/>
    <w:basedOn w:val="Normal"/>
    <w:uiPriority w:val="34"/>
    <w:qFormat/>
    <w:rsid w:val="00424F81"/>
    <w:pPr>
      <w:ind w:left="720"/>
      <w:contextualSpacing/>
    </w:pPr>
  </w:style>
  <w:style w:type="paragraph" w:styleId="Header">
    <w:name w:val="header"/>
    <w:basedOn w:val="Normal"/>
    <w:link w:val="HeaderChar"/>
    <w:uiPriority w:val="99"/>
    <w:unhideWhenUsed/>
    <w:rsid w:val="005B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0D6"/>
  </w:style>
  <w:style w:type="paragraph" w:styleId="Footer">
    <w:name w:val="footer"/>
    <w:basedOn w:val="Normal"/>
    <w:link w:val="FooterChar"/>
    <w:uiPriority w:val="99"/>
    <w:unhideWhenUsed/>
    <w:rsid w:val="005B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0D6"/>
  </w:style>
  <w:style w:type="paragraph" w:styleId="NoSpacing">
    <w:name w:val="No Spacing"/>
    <w:uiPriority w:val="1"/>
    <w:qFormat/>
    <w:rsid w:val="006E3AC7"/>
    <w:pPr>
      <w:spacing w:after="0" w:line="240" w:lineRule="auto"/>
    </w:pPr>
  </w:style>
  <w:style w:type="paragraph" w:styleId="Revision">
    <w:name w:val="Revision"/>
    <w:hidden/>
    <w:uiPriority w:val="99"/>
    <w:semiHidden/>
    <w:rsid w:val="009C08DB"/>
    <w:pPr>
      <w:spacing w:after="0" w:line="240" w:lineRule="auto"/>
    </w:pPr>
  </w:style>
  <w:style w:type="table" w:styleId="TableGrid">
    <w:name w:val="Table Grid"/>
    <w:basedOn w:val="TableNormal"/>
    <w:uiPriority w:val="39"/>
    <w:rsid w:val="00D2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scode.house.gov/view.xhtml?path=/prelim@title42/chapter119/subchapter6/partB&amp;edition=prelim" TargetMode="External"/><Relationship Id="rId2" Type="http://schemas.openxmlformats.org/officeDocument/2006/relationships/hyperlink" Target="https://nche.ed.gov/mckinney-vento-definition/" TargetMode="External"/><Relationship Id="rId1" Type="http://schemas.openxmlformats.org/officeDocument/2006/relationships/hyperlink" Target="https://www.cms.gov/medicare/icd-10/2022-icd-10-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7A0E8-6BD7-47FA-BA35-A722C8D16B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86ADA0-F2D2-4F17-8744-2CB5B0825DC5}">
  <ds:schemaRefs>
    <ds:schemaRef ds:uri="http://schemas.microsoft.com/sharepoint/v3/contenttype/forms"/>
  </ds:schemaRefs>
</ds:datastoreItem>
</file>

<file path=customXml/itemProps3.xml><?xml version="1.0" encoding="utf-8"?>
<ds:datastoreItem xmlns:ds="http://schemas.openxmlformats.org/officeDocument/2006/customXml" ds:itemID="{29BD43CE-5151-460D-AB4E-DA4BD3A0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e9dca-b655-4c82-9756-0719d4cc3ad5"/>
    <ds:schemaRef ds:uri="08b51a6c-15c5-468c-9d03-3812a6e7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1D955-B11D-4D0D-8F2D-ADFF9F35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Links>
    <vt:vector size="18" baseType="variant">
      <vt:variant>
        <vt:i4>5767223</vt:i4>
      </vt:variant>
      <vt:variant>
        <vt:i4>6</vt:i4>
      </vt:variant>
      <vt:variant>
        <vt:i4>0</vt:i4>
      </vt:variant>
      <vt:variant>
        <vt:i4>5</vt:i4>
      </vt:variant>
      <vt:variant>
        <vt:lpwstr>http://uscode.house.gov/view.xhtml?path=/prelim@title42/chapter119/subchapter6/partB&amp;edition=prelim</vt:lpwstr>
      </vt:variant>
      <vt:variant>
        <vt:lpwstr/>
      </vt:variant>
      <vt:variant>
        <vt:i4>3014755</vt:i4>
      </vt:variant>
      <vt:variant>
        <vt:i4>3</vt:i4>
      </vt:variant>
      <vt:variant>
        <vt:i4>0</vt:i4>
      </vt:variant>
      <vt:variant>
        <vt:i4>5</vt:i4>
      </vt:variant>
      <vt:variant>
        <vt:lpwstr>https://nche.ed.gov/mckinney-vento-definition/</vt:lpwstr>
      </vt:variant>
      <vt:variant>
        <vt:lpwstr/>
      </vt:variant>
      <vt:variant>
        <vt:i4>3014712</vt:i4>
      </vt:variant>
      <vt:variant>
        <vt:i4>0</vt:i4>
      </vt:variant>
      <vt:variant>
        <vt:i4>0</vt:i4>
      </vt:variant>
      <vt:variant>
        <vt:i4>5</vt:i4>
      </vt:variant>
      <vt:variant>
        <vt:lpwstr>https://www.cms.gov/medicare/icd-10/2022-icd-10-cm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Lucero Robles</dc:creator>
  <cp:keywords/>
  <dc:description/>
  <cp:lastModifiedBy>Courtney Vallejo</cp:lastModifiedBy>
  <cp:revision>16</cp:revision>
  <dcterms:created xsi:type="dcterms:W3CDTF">2022-03-20T15:21:00Z</dcterms:created>
  <dcterms:modified xsi:type="dcterms:W3CDTF">2022-03-21T22:24:00Z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